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F4112F" w:rsidP="00755096">
      <w:pPr>
        <w:pStyle w:val="MeetingDetails"/>
      </w:pPr>
      <w:r>
        <w:t>Special MIC – Distributed Energy Resources (DER)</w:t>
      </w:r>
    </w:p>
    <w:p w:rsidR="00B62597" w:rsidRPr="00B62597" w:rsidRDefault="00010057" w:rsidP="00755096">
      <w:pPr>
        <w:pStyle w:val="MeetingDetails"/>
      </w:pPr>
      <w:r>
        <w:t>PJM Conference and Training Center</w:t>
      </w:r>
    </w:p>
    <w:p w:rsidR="00B62597" w:rsidRPr="00B62597" w:rsidRDefault="00244D66" w:rsidP="00755096">
      <w:pPr>
        <w:pStyle w:val="MeetingDetails"/>
      </w:pPr>
      <w:r>
        <w:t xml:space="preserve">June </w:t>
      </w:r>
      <w:r w:rsidR="00F509A1">
        <w:t>20</w:t>
      </w:r>
      <w:r w:rsidR="004632FD">
        <w:t>, 2017</w:t>
      </w:r>
    </w:p>
    <w:p w:rsidR="00B62597" w:rsidRDefault="00F509A1" w:rsidP="00755096">
      <w:pPr>
        <w:pStyle w:val="MeetingDetails"/>
      </w:pPr>
      <w:r>
        <w:t>1</w:t>
      </w:r>
      <w:r w:rsidR="00C71ED7">
        <w:t>:00</w:t>
      </w:r>
      <w:r w:rsidR="002B2F98">
        <w:t xml:space="preserve"> </w:t>
      </w:r>
      <w:r>
        <w:t>p</w:t>
      </w:r>
      <w:r w:rsidR="002B2F98">
        <w:t xml:space="preserve">.m. – </w:t>
      </w:r>
      <w:r>
        <w:t>4</w:t>
      </w:r>
      <w:r w:rsidR="00C71ED7">
        <w:t>:00</w:t>
      </w:r>
      <w:r w:rsidR="00010057">
        <w:t xml:space="preserve"> </w:t>
      </w:r>
      <w:r w:rsidR="00F4112F">
        <w:t>p</w:t>
      </w:r>
      <w:r w:rsidR="00755096">
        <w:t>.m.</w:t>
      </w:r>
      <w:r w:rsidR="00010057">
        <w:t xml:space="preserve"> E</w:t>
      </w:r>
      <w:r w:rsidR="00D26669">
        <w:t>D</w:t>
      </w:r>
      <w:r w:rsidR="00010057">
        <w:t>T</w:t>
      </w:r>
    </w:p>
    <w:p w:rsidR="00EF045C" w:rsidRDefault="00EF045C" w:rsidP="00755096">
      <w:pPr>
        <w:pStyle w:val="MeetingDetails"/>
      </w:pPr>
    </w:p>
    <w:p w:rsidR="00EF045C" w:rsidRPr="00EF045C" w:rsidRDefault="00EF045C" w:rsidP="00755096">
      <w:pPr>
        <w:pStyle w:val="MeetingDetails"/>
        <w:rPr>
          <w:color w:val="0070C0"/>
          <w:sz w:val="28"/>
          <w:u w:val="single"/>
        </w:rPr>
      </w:pPr>
      <w:r w:rsidRPr="00EF045C">
        <w:rPr>
          <w:color w:val="0070C0"/>
          <w:u w:val="single"/>
        </w:rPr>
        <w:t>Distributed Energy Resource</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E5088E">
        <w:t>1</w:t>
      </w:r>
      <w:r w:rsidR="00ED4BE4">
        <w:t>:</w:t>
      </w:r>
      <w:r w:rsidR="00C71ED7">
        <w:t>0</w:t>
      </w:r>
      <w:r w:rsidR="00ED4BE4">
        <w:t xml:space="preserve">0 – </w:t>
      </w:r>
      <w:r w:rsidR="00E5088E">
        <w:t>1</w:t>
      </w:r>
      <w:r w:rsidR="00ED4BE4">
        <w:t>:</w:t>
      </w:r>
      <w:r w:rsidR="00C71ED7">
        <w:t>1</w:t>
      </w:r>
      <w:r w:rsidR="00ED4BE4">
        <w:t>5</w:t>
      </w:r>
      <w:r w:rsidR="00B62597" w:rsidRPr="00B62597">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review meeting participation guidelines</w:t>
      </w:r>
      <w:r w:rsidR="00ED4BE4">
        <w:rPr>
          <w:b w:val="0"/>
        </w:rPr>
        <w:t xml:space="preserve"> and the minutes from the </w:t>
      </w:r>
      <w:r w:rsidR="00E5088E">
        <w:rPr>
          <w:b w:val="0"/>
        </w:rPr>
        <w:t>June 1</w:t>
      </w:r>
      <w:r w:rsidR="00E5088E" w:rsidRPr="00E5088E">
        <w:rPr>
          <w:b w:val="0"/>
          <w:vertAlign w:val="superscript"/>
        </w:rPr>
        <w:t>st</w:t>
      </w:r>
      <w:r w:rsidR="00E5088E">
        <w:rPr>
          <w:b w:val="0"/>
        </w:rPr>
        <w:t xml:space="preserve"> </w:t>
      </w:r>
      <w:r w:rsidR="00ED4BE4">
        <w:rPr>
          <w:b w:val="0"/>
        </w:rPr>
        <w:t>meeting.  Attendance will be taken offline from a combination of in-person and WebEx attendees</w:t>
      </w:r>
      <w:r>
        <w:rPr>
          <w:b w:val="0"/>
        </w:rPr>
        <w:t>.</w:t>
      </w:r>
    </w:p>
    <w:p w:rsidR="00EF045C" w:rsidRDefault="00EF045C" w:rsidP="00917386">
      <w:pPr>
        <w:pStyle w:val="SecondaryHeading-Numbered"/>
        <w:rPr>
          <w:b w:val="0"/>
        </w:rPr>
      </w:pPr>
      <w:r>
        <w:rPr>
          <w:b w:val="0"/>
        </w:rPr>
        <w:t>Mr. Baker will discuss an updated work plan located in the solutions matrix (separate worksheet tab).</w:t>
      </w:r>
    </w:p>
    <w:p w:rsidR="00272A67" w:rsidRDefault="00244D66" w:rsidP="00272A67">
      <w:pPr>
        <w:pStyle w:val="PrimaryHeading"/>
      </w:pPr>
      <w:r>
        <w:t>Education</w:t>
      </w:r>
      <w:r w:rsidR="00272A67">
        <w:t xml:space="preserve"> (</w:t>
      </w:r>
      <w:r w:rsidR="00E5088E">
        <w:t>1</w:t>
      </w:r>
      <w:r w:rsidR="00272A67">
        <w:t xml:space="preserve">:15 – </w:t>
      </w:r>
      <w:r w:rsidR="00E5088E">
        <w:t>2</w:t>
      </w:r>
      <w:r w:rsidR="00272A67">
        <w:t>:</w:t>
      </w:r>
      <w:r w:rsidR="004B52AF">
        <w:t>15</w:t>
      </w:r>
      <w:r w:rsidR="00272A67">
        <w:t>)</w:t>
      </w:r>
    </w:p>
    <w:p w:rsidR="00E5088E" w:rsidRDefault="00E5088E" w:rsidP="00272A67">
      <w:pPr>
        <w:pStyle w:val="SecondaryHeading-Numbered"/>
        <w:rPr>
          <w:b w:val="0"/>
        </w:rPr>
      </w:pPr>
      <w:r>
        <w:rPr>
          <w:b w:val="0"/>
        </w:rPr>
        <w:t>Mr. Levitt will present term definitions for use in group discussion.</w:t>
      </w:r>
    </w:p>
    <w:p w:rsidR="00272A67" w:rsidRDefault="00E5088E" w:rsidP="00272A67">
      <w:pPr>
        <w:pStyle w:val="SecondaryHeading-Numbered"/>
        <w:rPr>
          <w:b w:val="0"/>
        </w:rPr>
      </w:pPr>
      <w:r w:rsidRPr="00B53901">
        <w:rPr>
          <w:b w:val="0"/>
        </w:rPr>
        <w:t xml:space="preserve">Mr. </w:t>
      </w:r>
      <w:r w:rsidR="00B53901">
        <w:rPr>
          <w:b w:val="0"/>
        </w:rPr>
        <w:t xml:space="preserve">Levitt </w:t>
      </w:r>
      <w:r>
        <w:rPr>
          <w:b w:val="0"/>
        </w:rPr>
        <w:t>will discuss metering and communication requirements for distributed energy resources as a lead in for discussion of the options matrix</w:t>
      </w:r>
      <w:r w:rsidR="00244D66">
        <w:rPr>
          <w:b w:val="0"/>
        </w:rPr>
        <w:t xml:space="preserve">. </w:t>
      </w:r>
    </w:p>
    <w:p w:rsidR="008B0706" w:rsidRDefault="008B0706" w:rsidP="008B0706">
      <w:pPr>
        <w:pStyle w:val="PrimaryHeading"/>
      </w:pPr>
      <w:r>
        <w:t>Consensus Based Issue Resolution Process (</w:t>
      </w:r>
      <w:r w:rsidR="00E5088E">
        <w:t>2</w:t>
      </w:r>
      <w:r>
        <w:t>:</w:t>
      </w:r>
      <w:r w:rsidR="004B52AF">
        <w:t>15</w:t>
      </w:r>
      <w:r>
        <w:t xml:space="preserve"> – </w:t>
      </w:r>
      <w:r w:rsidR="00E5088E">
        <w:t>3</w:t>
      </w:r>
      <w:r>
        <w:t>:</w:t>
      </w:r>
      <w:r w:rsidR="00D474CD">
        <w:t>4</w:t>
      </w:r>
      <w:r>
        <w:t>5)</w:t>
      </w:r>
    </w:p>
    <w:p w:rsidR="008B0706" w:rsidRDefault="008B0706" w:rsidP="008B0706">
      <w:pPr>
        <w:pStyle w:val="SecondaryHeading-Numbered"/>
        <w:rPr>
          <w:b w:val="0"/>
        </w:rPr>
      </w:pPr>
      <w:r w:rsidRPr="008B0706">
        <w:rPr>
          <w:b w:val="0"/>
        </w:rPr>
        <w:t xml:space="preserve">Mr. Baker will review the solutions matrix and stakeholders will focus discussion on existing and new solution options. </w:t>
      </w:r>
      <w:r>
        <w:rPr>
          <w:b w:val="0"/>
        </w:rPr>
        <w:t xml:space="preserve">If possible, stakeholders should email options in advance of the meeting to </w:t>
      </w:r>
      <w:hyperlink r:id="rId8" w:history="1">
        <w:r w:rsidRPr="00982117">
          <w:rPr>
            <w:rStyle w:val="Hyperlink"/>
            <w:b w:val="0"/>
          </w:rPr>
          <w:t>Scott.Baker@pjm.com</w:t>
        </w:r>
      </w:hyperlink>
      <w:r>
        <w:rPr>
          <w:b w:val="0"/>
        </w:rPr>
        <w:t xml:space="preserve"> and </w:t>
      </w:r>
      <w:hyperlink r:id="rId9" w:history="1">
        <w:r w:rsidRPr="00982117">
          <w:rPr>
            <w:rStyle w:val="Hyperlink"/>
            <w:b w:val="0"/>
          </w:rPr>
          <w:t>Andrew.Gledhill@pjm.com</w:t>
        </w:r>
      </w:hyperlink>
      <w:r>
        <w:rPr>
          <w:b w:val="0"/>
        </w:rPr>
        <w:t xml:space="preserve">. </w:t>
      </w:r>
      <w:r w:rsidRPr="008B0706">
        <w:rPr>
          <w:b w:val="0"/>
        </w:rPr>
        <w:t xml:space="preserve">The group will </w:t>
      </w:r>
      <w:r w:rsidR="00455F03">
        <w:rPr>
          <w:b w:val="0"/>
        </w:rPr>
        <w:t>focus primarily on the following components:</w:t>
      </w:r>
    </w:p>
    <w:p w:rsidR="00E5088E" w:rsidRPr="00E5088E" w:rsidRDefault="00E5088E" w:rsidP="00516E89">
      <w:pPr>
        <w:pStyle w:val="ListSubhead1"/>
        <w:numPr>
          <w:ilvl w:val="1"/>
          <w:numId w:val="11"/>
        </w:numPr>
      </w:pPr>
      <w:r>
        <w:rPr>
          <w:b w:val="0"/>
        </w:rPr>
        <w:t xml:space="preserve">Design Component 2.5 – </w:t>
      </w:r>
      <w:r w:rsidR="00516E89" w:rsidRPr="00516E89">
        <w:rPr>
          <w:b w:val="0"/>
        </w:rPr>
        <w:t>Metering configur</w:t>
      </w:r>
      <w:r w:rsidR="00516E89">
        <w:rPr>
          <w:b w:val="0"/>
        </w:rPr>
        <w:t>ation and meter data arithmetic</w:t>
      </w:r>
    </w:p>
    <w:p w:rsidR="00E5088E" w:rsidRPr="00E5088E" w:rsidRDefault="00E5088E" w:rsidP="00516E89">
      <w:pPr>
        <w:pStyle w:val="ListSubhead1"/>
        <w:numPr>
          <w:ilvl w:val="1"/>
          <w:numId w:val="11"/>
        </w:numPr>
      </w:pPr>
      <w:r>
        <w:rPr>
          <w:b w:val="0"/>
        </w:rPr>
        <w:t xml:space="preserve">Design Component 3.3 – </w:t>
      </w:r>
      <w:r w:rsidR="00516E89" w:rsidRPr="00516E89">
        <w:rPr>
          <w:b w:val="0"/>
        </w:rPr>
        <w:t>Ancillary Service compliance aggregation rules</w:t>
      </w:r>
    </w:p>
    <w:p w:rsidR="008B0706" w:rsidRPr="00E5088E" w:rsidRDefault="008B0706" w:rsidP="008B0706">
      <w:pPr>
        <w:pStyle w:val="ListSubhead1"/>
        <w:numPr>
          <w:ilvl w:val="1"/>
          <w:numId w:val="11"/>
        </w:numPr>
      </w:pPr>
      <w:r>
        <w:rPr>
          <w:b w:val="0"/>
        </w:rPr>
        <w:t xml:space="preserve">Design Component </w:t>
      </w:r>
      <w:r w:rsidR="00E5088E">
        <w:rPr>
          <w:b w:val="0"/>
        </w:rPr>
        <w:t>4 – Delegation of market relationship</w:t>
      </w:r>
    </w:p>
    <w:p w:rsidR="00E5088E" w:rsidRPr="00272A67" w:rsidRDefault="00E5088E" w:rsidP="00516E89">
      <w:pPr>
        <w:pStyle w:val="ListSubhead1"/>
        <w:numPr>
          <w:ilvl w:val="1"/>
          <w:numId w:val="11"/>
        </w:numPr>
      </w:pPr>
      <w:r>
        <w:rPr>
          <w:b w:val="0"/>
        </w:rPr>
        <w:t xml:space="preserve">Design Component 5 – </w:t>
      </w:r>
      <w:r w:rsidR="00516E89" w:rsidRPr="00516E89">
        <w:rPr>
          <w:b w:val="0"/>
        </w:rPr>
        <w:t>Hardware requirements for meter and related hardware (for market participation)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7C40C6" w:rsidRDefault="007C40C6" w:rsidP="00E5088E">
            <w:pPr>
              <w:pStyle w:val="PrimaryHeading"/>
            </w:pPr>
            <w:r>
              <w:t>Wrap-up and Future Agenda Items (</w:t>
            </w:r>
            <w:r w:rsidR="00E5088E">
              <w:t>3</w:t>
            </w:r>
            <w:r>
              <w:t>:</w:t>
            </w:r>
            <w:r w:rsidR="00272A67">
              <w:t>4</w:t>
            </w:r>
            <w:r w:rsidR="00994605">
              <w:t>5</w:t>
            </w:r>
            <w:r>
              <w:t xml:space="preserve"> – </w:t>
            </w:r>
            <w:r w:rsidR="00E5088E">
              <w:t>4</w:t>
            </w:r>
            <w:r>
              <w:t>:</w:t>
            </w:r>
            <w:r w:rsidR="00272A67">
              <w:t>0</w:t>
            </w:r>
            <w:r>
              <w:t>0)</w:t>
            </w:r>
          </w:p>
        </w:tc>
      </w:tr>
      <w:tr w:rsidR="007C40C6" w:rsidTr="00D03719">
        <w:tc>
          <w:tcPr>
            <w:tcW w:w="9576" w:type="dxa"/>
          </w:tcPr>
          <w:p w:rsidR="007C40C6" w:rsidRPr="00272A67" w:rsidRDefault="007C40C6" w:rsidP="00D03719">
            <w:pPr>
              <w:pStyle w:val="ListSubhead1"/>
            </w:pPr>
            <w:r>
              <w:rPr>
                <w:b w:val="0"/>
              </w:rPr>
              <w:t xml:space="preserve">Mr. Baker will summarize action items and ask stakeholders for discussion topics and meeting materials needed to make progress </w:t>
            </w:r>
            <w:r w:rsidR="00573DE1">
              <w:rPr>
                <w:b w:val="0"/>
              </w:rPr>
              <w:t>towards</w:t>
            </w:r>
            <w:r>
              <w:rPr>
                <w:b w:val="0"/>
              </w:rPr>
              <w:t xml:space="preserve"> solution option</w:t>
            </w:r>
            <w:r w:rsidR="00573DE1">
              <w:rPr>
                <w:b w:val="0"/>
              </w:rPr>
              <w:t>s that have consensus</w:t>
            </w:r>
            <w:r>
              <w:rPr>
                <w:b w:val="0"/>
              </w:rPr>
              <w:t>.</w:t>
            </w:r>
          </w:p>
          <w:p w:rsidR="007C40C6" w:rsidRDefault="007C40C6" w:rsidP="00D03719">
            <w:pPr>
              <w:pStyle w:val="ListSubhead1"/>
              <w:numPr>
                <w:ilvl w:val="0"/>
                <w:numId w:val="0"/>
              </w:numPr>
              <w:ind w:left="360"/>
            </w:pPr>
          </w:p>
        </w:tc>
      </w:tr>
    </w:tbl>
    <w:p w:rsidR="008B0706" w:rsidRDefault="008B0706" w:rsidP="00337321">
      <w:pPr>
        <w:pStyle w:val="Author"/>
      </w:pP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B0706" w:rsidTr="00477229">
        <w:tc>
          <w:tcPr>
            <w:tcW w:w="3192" w:type="dxa"/>
            <w:vAlign w:val="center"/>
          </w:tcPr>
          <w:p w:rsidR="008B0706" w:rsidRPr="00B62597" w:rsidRDefault="008B0706" w:rsidP="00477229">
            <w:pPr>
              <w:pStyle w:val="AttendeesList"/>
            </w:pPr>
            <w:r>
              <w:t>July 7, 2017</w:t>
            </w:r>
          </w:p>
        </w:tc>
        <w:tc>
          <w:tcPr>
            <w:tcW w:w="3192" w:type="dxa"/>
            <w:vAlign w:val="center"/>
          </w:tcPr>
          <w:p w:rsidR="008B0706" w:rsidRDefault="008B0706" w:rsidP="00E5088E">
            <w:pPr>
              <w:pStyle w:val="AttendeesList"/>
            </w:pPr>
            <w:r>
              <w:t xml:space="preserve">9:00 a.m – </w:t>
            </w:r>
            <w:r w:rsidR="00E5088E">
              <w:t>4</w:t>
            </w:r>
            <w:r>
              <w:t>:00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lastRenderedPageBreak/>
              <w:t>August 1, 2017</w:t>
            </w:r>
          </w:p>
        </w:tc>
        <w:tc>
          <w:tcPr>
            <w:tcW w:w="3192" w:type="dxa"/>
            <w:vAlign w:val="center"/>
          </w:tcPr>
          <w:p w:rsidR="008B0706" w:rsidRDefault="008B0706" w:rsidP="00477229">
            <w:pPr>
              <w:pStyle w:val="AttendeesList"/>
            </w:pPr>
            <w:r>
              <w:t>9:00 a.m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August 18, 2017</w:t>
            </w:r>
          </w:p>
        </w:tc>
        <w:tc>
          <w:tcPr>
            <w:tcW w:w="3192" w:type="dxa"/>
            <w:vAlign w:val="center"/>
          </w:tcPr>
          <w:p w:rsidR="008B0706" w:rsidRDefault="008B0706" w:rsidP="00477229">
            <w:pPr>
              <w:pStyle w:val="AttendeesList"/>
            </w:pPr>
            <w:r>
              <w:t>1:00 p.m. – 4:00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August 31, 2017</w:t>
            </w:r>
          </w:p>
        </w:tc>
        <w:tc>
          <w:tcPr>
            <w:tcW w:w="3192" w:type="dxa"/>
            <w:vAlign w:val="center"/>
          </w:tcPr>
          <w:p w:rsidR="008B0706" w:rsidRDefault="008B0706" w:rsidP="00477229">
            <w:pPr>
              <w:pStyle w:val="AttendeesList"/>
            </w:pPr>
            <w:r>
              <w:t>9:00 a.m.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September 18, 2017</w:t>
            </w:r>
          </w:p>
        </w:tc>
        <w:tc>
          <w:tcPr>
            <w:tcW w:w="3192" w:type="dxa"/>
            <w:vAlign w:val="center"/>
          </w:tcPr>
          <w:p w:rsidR="008B0706" w:rsidRDefault="008B0706" w:rsidP="00477229">
            <w:pPr>
              <w:pStyle w:val="AttendeesList"/>
            </w:pPr>
            <w:r>
              <w:t>9:00 a.m.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October 4, 2017</w:t>
            </w:r>
          </w:p>
        </w:tc>
        <w:tc>
          <w:tcPr>
            <w:tcW w:w="3192" w:type="dxa"/>
            <w:vAlign w:val="center"/>
          </w:tcPr>
          <w:p w:rsidR="008B0706" w:rsidRDefault="008B0706" w:rsidP="00477229">
            <w:pPr>
              <w:pStyle w:val="AttendeesList"/>
            </w:pPr>
            <w:r>
              <w:t xml:space="preserve">1:00 p.m. – 4:00 p.m. </w:t>
            </w:r>
          </w:p>
        </w:tc>
        <w:tc>
          <w:tcPr>
            <w:tcW w:w="3192" w:type="dxa"/>
            <w:vAlign w:val="center"/>
          </w:tcPr>
          <w:p w:rsidR="008B0706" w:rsidRDefault="008B0706" w:rsidP="00477229">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19583B">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879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87919">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062925" wp14:editId="076510F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994605">
      <w:rPr>
        <w:rFonts w:ascii="Arial Narrow" w:hAnsi="Arial Narrow"/>
        <w:sz w:val="20"/>
      </w:rPr>
      <w:t>7</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A87919">
    <w:pPr>
      <w:rPr>
        <w:sz w:val="16"/>
      </w:rPr>
    </w:pPr>
  </w:p>
  <w:p w:rsidR="003C17E2" w:rsidRDefault="00A87919">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477AA948"/>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af6e50-0530-408d-b8b0-086334c52311"/>
  </w:docVars>
  <w:rsids>
    <w:rsidRoot w:val="00B62597"/>
    <w:rsid w:val="00010057"/>
    <w:rsid w:val="000616CD"/>
    <w:rsid w:val="00094833"/>
    <w:rsid w:val="00102A07"/>
    <w:rsid w:val="00124786"/>
    <w:rsid w:val="00144504"/>
    <w:rsid w:val="001645C8"/>
    <w:rsid w:val="00186B7B"/>
    <w:rsid w:val="0019583B"/>
    <w:rsid w:val="001B2242"/>
    <w:rsid w:val="001C0CC0"/>
    <w:rsid w:val="001D144E"/>
    <w:rsid w:val="001D3B68"/>
    <w:rsid w:val="001E5018"/>
    <w:rsid w:val="002113BD"/>
    <w:rsid w:val="00244D66"/>
    <w:rsid w:val="00272A67"/>
    <w:rsid w:val="002B2F98"/>
    <w:rsid w:val="00305238"/>
    <w:rsid w:val="003248BD"/>
    <w:rsid w:val="003321BA"/>
    <w:rsid w:val="00337321"/>
    <w:rsid w:val="00366C40"/>
    <w:rsid w:val="003B55E1"/>
    <w:rsid w:val="003D1C22"/>
    <w:rsid w:val="003D4517"/>
    <w:rsid w:val="003D7E5C"/>
    <w:rsid w:val="003E7A73"/>
    <w:rsid w:val="0043649C"/>
    <w:rsid w:val="00455F03"/>
    <w:rsid w:val="004632FD"/>
    <w:rsid w:val="00474054"/>
    <w:rsid w:val="00491490"/>
    <w:rsid w:val="004969FA"/>
    <w:rsid w:val="004B2CA0"/>
    <w:rsid w:val="004B52AF"/>
    <w:rsid w:val="00516E89"/>
    <w:rsid w:val="00564DEE"/>
    <w:rsid w:val="00573DE1"/>
    <w:rsid w:val="0057441E"/>
    <w:rsid w:val="005C702A"/>
    <w:rsid w:val="005D6D05"/>
    <w:rsid w:val="00602967"/>
    <w:rsid w:val="00606F11"/>
    <w:rsid w:val="00624282"/>
    <w:rsid w:val="00712CAA"/>
    <w:rsid w:val="00716A8B"/>
    <w:rsid w:val="00754C6D"/>
    <w:rsid w:val="00755096"/>
    <w:rsid w:val="007A34A3"/>
    <w:rsid w:val="007C40C6"/>
    <w:rsid w:val="007E7CAB"/>
    <w:rsid w:val="00837B12"/>
    <w:rsid w:val="00841282"/>
    <w:rsid w:val="00882652"/>
    <w:rsid w:val="00884C33"/>
    <w:rsid w:val="008B0706"/>
    <w:rsid w:val="008C5550"/>
    <w:rsid w:val="00917386"/>
    <w:rsid w:val="00994605"/>
    <w:rsid w:val="009A5430"/>
    <w:rsid w:val="009C15C4"/>
    <w:rsid w:val="00A03F9C"/>
    <w:rsid w:val="00A05391"/>
    <w:rsid w:val="00A317A9"/>
    <w:rsid w:val="00A87919"/>
    <w:rsid w:val="00B12F81"/>
    <w:rsid w:val="00B16D95"/>
    <w:rsid w:val="00B20316"/>
    <w:rsid w:val="00B34E3C"/>
    <w:rsid w:val="00B53901"/>
    <w:rsid w:val="00B62597"/>
    <w:rsid w:val="00B807DB"/>
    <w:rsid w:val="00BA6146"/>
    <w:rsid w:val="00BB531B"/>
    <w:rsid w:val="00BC019A"/>
    <w:rsid w:val="00BF331B"/>
    <w:rsid w:val="00C439EC"/>
    <w:rsid w:val="00C71ED7"/>
    <w:rsid w:val="00C72168"/>
    <w:rsid w:val="00CA49B9"/>
    <w:rsid w:val="00CC1B47"/>
    <w:rsid w:val="00CC2430"/>
    <w:rsid w:val="00D136EA"/>
    <w:rsid w:val="00D251ED"/>
    <w:rsid w:val="00D26669"/>
    <w:rsid w:val="00D474CD"/>
    <w:rsid w:val="00D95949"/>
    <w:rsid w:val="00DB29E9"/>
    <w:rsid w:val="00DE34CF"/>
    <w:rsid w:val="00DF6A3C"/>
    <w:rsid w:val="00E5088E"/>
    <w:rsid w:val="00E53618"/>
    <w:rsid w:val="00EB68B0"/>
    <w:rsid w:val="00ED4BE4"/>
    <w:rsid w:val="00EF045C"/>
    <w:rsid w:val="00F4112F"/>
    <w:rsid w:val="00F4190F"/>
    <w:rsid w:val="00F509A1"/>
    <w:rsid w:val="00F554B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Baker@pjm.co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w.Gledhill@pjm.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2017-06-16T16:10:00Z</dcterms:created>
  <dcterms:modified xsi:type="dcterms:W3CDTF">2017-06-16T16:10:00Z</dcterms:modified>
</cp:coreProperties>
</file>