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756FA6EB">
      <w:pPr>
        <w:pStyle w:val="MeetingDetails"/>
      </w:pPr>
      <w:r>
        <w:t xml:space="preserve">Market Implementation </w:t>
      </w:r>
      <w:r w:rsidR="002B2F98">
        <w:t>Committee</w:t>
      </w:r>
      <w:r w:rsidR="00CF27EE">
        <w:t xml:space="preserve"> Special Session: </w:t>
      </w:r>
    </w:p>
    <w:p w:rsidR="00CF27EE" w:rsidRPr="00B62597" w:rsidP="00755096" w14:paraId="576369C6" w14:textId="1D69A46D">
      <w:pPr>
        <w:pStyle w:val="MeetingDetails"/>
      </w:pPr>
      <w:r>
        <w:t>Evaluation of Energy Efficiency Resources</w:t>
      </w:r>
    </w:p>
    <w:p w:rsidR="00B62597" w:rsidRPr="00B62597" w:rsidP="00755096" w14:paraId="54063F49" w14:textId="654B2E5B">
      <w:pPr>
        <w:pStyle w:val="MeetingDetails"/>
      </w:pPr>
      <w:r>
        <w:t>Webex</w:t>
      </w:r>
    </w:p>
    <w:p w:rsidR="00B62597" w:rsidRPr="00B62597" w:rsidP="00755096" w14:paraId="0EB6B18F" w14:textId="02B1384B">
      <w:pPr>
        <w:pStyle w:val="MeetingDetails"/>
      </w:pPr>
      <w:r>
        <w:t>January</w:t>
      </w:r>
      <w:r w:rsidR="009B43E9">
        <w:t xml:space="preserve"> </w:t>
      </w:r>
      <w:r w:rsidR="00CF27EE">
        <w:t>16</w:t>
      </w:r>
      <w:r w:rsidR="002B2F98">
        <w:t xml:space="preserve">, </w:t>
      </w:r>
      <w:r>
        <w:t>2024</w:t>
      </w:r>
    </w:p>
    <w:p w:rsidR="00B62597" w:rsidP="00755096" w14:paraId="11C66CDB" w14:textId="16DEDAF3">
      <w:pPr>
        <w:pStyle w:val="MeetingDetails"/>
      </w:pPr>
      <w:r>
        <w:t>9</w:t>
      </w:r>
      <w:r w:rsidR="002B2F98">
        <w:t xml:space="preserve">:00 </w:t>
      </w:r>
      <w:r w:rsidR="00010057">
        <w:t>a</w:t>
      </w:r>
      <w:r w:rsidR="002B2F98">
        <w:t>.m. –</w:t>
      </w:r>
      <w:r w:rsidR="00EA3F2D">
        <w:t xml:space="preserve"> </w:t>
      </w:r>
      <w:r w:rsidR="00BF0C90">
        <w:t>12</w:t>
      </w:r>
      <w:r w:rsidR="009B43E9">
        <w:t>:</w:t>
      </w:r>
      <w:r w:rsidR="005860E1">
        <w:t>00</w:t>
      </w:r>
      <w:r w:rsidR="009B43E9">
        <w:t xml:space="preserve"> </w:t>
      </w:r>
      <w:r w:rsidR="00DD6ED2">
        <w:t>p</w:t>
      </w:r>
      <w:r w:rsidR="00755096">
        <w:t>.m.</w:t>
      </w:r>
      <w:r w:rsidR="00010057">
        <w:t xml:space="preserve"> EPT</w:t>
      </w:r>
    </w:p>
    <w:p w:rsidR="00B62597" w:rsidRPr="00B62597" w:rsidP="00B62597" w14:paraId="044ABFFD" w14:textId="77777777">
      <w:pPr>
        <w:spacing w:after="0" w:line="240" w:lineRule="auto"/>
        <w:rPr>
          <w:rFonts w:ascii="Arial Narrow" w:eastAsia="Times New Roman" w:hAnsi="Arial Narrow" w:cs="Times New Roman"/>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F118F" w:rsidRPr="00CF27EE" w:rsidP="00CF27EE" w14:paraId="12F28812" w14:textId="155E1481">
      <w:pPr>
        <w:pStyle w:val="SecondaryHeading-Numbered"/>
        <w:numPr>
          <w:ilvl w:val="0"/>
          <w:numId w:val="0"/>
        </w:numPr>
        <w:tabs>
          <w:tab w:val="clear" w:pos="0"/>
          <w:tab w:val="left" w:pos="360"/>
        </w:tabs>
        <w:rPr>
          <w:b w:val="0"/>
        </w:rPr>
      </w:pPr>
      <w:r>
        <w:rPr>
          <w:b w:val="0"/>
        </w:rPr>
        <w:t>PJM</w:t>
      </w:r>
      <w:r w:rsidR="008C275E">
        <w:rPr>
          <w:b w:val="0"/>
        </w:rPr>
        <w:t xml:space="preserve"> will review the Antitrust, Code of Conduct, Public Meetings/Media Participation and WebEx Participant Identification Requirements.</w:t>
      </w:r>
    </w:p>
    <w:p w:rsidR="001D3B68" w:rsidRPr="00DB29E9" w:rsidP="007C2954" w14:paraId="55DABEE1" w14:textId="06A418E3">
      <w:pPr>
        <w:pStyle w:val="PrimaryHeading"/>
      </w:pPr>
      <w:r>
        <w:t>Education (9:05 – 11:00)</w:t>
      </w:r>
    </w:p>
    <w:p w:rsidR="00CF27EE" w:rsidP="00CF27EE" w14:paraId="23823053" w14:textId="3F9CBA48">
      <w:pPr>
        <w:pStyle w:val="ListSubhead1"/>
        <w:numPr>
          <w:ilvl w:val="0"/>
          <w:numId w:val="15"/>
        </w:numPr>
        <w:spacing w:after="0"/>
        <w:contextualSpacing/>
        <w:rPr>
          <w:b w:val="0"/>
        </w:rPr>
      </w:pPr>
      <w:r>
        <w:rPr>
          <w:b w:val="0"/>
        </w:rPr>
        <w:t xml:space="preserve">Joe Bowring and Paul </w:t>
      </w:r>
      <w:r>
        <w:rPr>
          <w:b w:val="0"/>
        </w:rPr>
        <w:t>Scheidecker</w:t>
      </w:r>
      <w:r>
        <w:rPr>
          <w:b w:val="0"/>
        </w:rPr>
        <w:t xml:space="preserve">, Monitoring Analytics, will present </w:t>
      </w:r>
      <w:r w:rsidRPr="00A76229">
        <w:rPr>
          <w:b w:val="0"/>
        </w:rPr>
        <w:t>preliminary education on issues related to the inclusion of EE in the PJM Capacity Market</w:t>
      </w:r>
      <w:r>
        <w:rPr>
          <w:b w:val="0"/>
        </w:rPr>
        <w:t>.</w:t>
      </w:r>
    </w:p>
    <w:p w:rsidR="00CF27EE" w:rsidP="00CF27EE" w14:paraId="7AA32163" w14:textId="77777777">
      <w:pPr>
        <w:pStyle w:val="ListSubhead1"/>
        <w:numPr>
          <w:ilvl w:val="0"/>
          <w:numId w:val="0"/>
        </w:numPr>
        <w:spacing w:after="0"/>
        <w:ind w:left="360"/>
        <w:contextualSpacing/>
        <w:rPr>
          <w:b w:val="0"/>
        </w:rPr>
      </w:pPr>
      <w:bookmarkStart w:id="2" w:name="_GoBack"/>
      <w:bookmarkEnd w:id="2"/>
    </w:p>
    <w:p w:rsidR="00CF27EE" w:rsidP="00CF27EE" w14:paraId="1E28104C" w14:textId="77777777">
      <w:pPr>
        <w:pStyle w:val="ListSubhead1"/>
        <w:numPr>
          <w:ilvl w:val="0"/>
          <w:numId w:val="15"/>
        </w:numPr>
        <w:spacing w:after="0"/>
        <w:contextualSpacing/>
        <w:rPr>
          <w:b w:val="0"/>
        </w:rPr>
      </w:pPr>
      <w:r>
        <w:rPr>
          <w:b w:val="0"/>
        </w:rPr>
        <w:t xml:space="preserve">Ed Rich, Tim </w:t>
      </w:r>
      <w:r>
        <w:rPr>
          <w:b w:val="0"/>
        </w:rPr>
        <w:t>Bachus</w:t>
      </w:r>
      <w:r>
        <w:rPr>
          <w:b w:val="0"/>
        </w:rPr>
        <w:t xml:space="preserve">, and Pete Langbein, PJM, will provide follow-up education based on prior requests. </w:t>
      </w:r>
    </w:p>
    <w:p w:rsidR="00B16A05" w:rsidRPr="00DF106D" w:rsidP="00B16A05" w14:paraId="32B5E207" w14:textId="1E5E032F">
      <w:pPr>
        <w:pStyle w:val="DisclaimerBodyCopy"/>
      </w:pPr>
    </w:p>
    <w:p w:rsidR="007C3AEF" w:rsidP="00612213" w14:paraId="7B95B0A0" w14:textId="2BE52544">
      <w:pPr>
        <w:pStyle w:val="PrimaryHeading"/>
      </w:pPr>
      <w:r>
        <w:t>Consensus-Based Issue Resolution</w:t>
      </w:r>
      <w:r w:rsidR="00EA3F2D">
        <w:t xml:space="preserve"> </w:t>
      </w:r>
      <w:r w:rsidR="007829E0">
        <w:t>(</w:t>
      </w:r>
      <w:r>
        <w:t>11</w:t>
      </w:r>
      <w:r w:rsidR="00630D21">
        <w:t>:</w:t>
      </w:r>
      <w:r>
        <w:t>00 – 12</w:t>
      </w:r>
      <w:r w:rsidR="00630D21">
        <w:t>:</w:t>
      </w:r>
      <w:r>
        <w:t>0</w:t>
      </w:r>
      <w:r w:rsidR="00630D21">
        <w:t>0</w:t>
      </w:r>
      <w:r w:rsidR="00F75DBA">
        <w:t>)</w:t>
      </w:r>
    </w:p>
    <w:p w:rsidR="00C26A61" w:rsidP="00CF27EE" w14:paraId="219FD69D" w14:textId="4ECA2CB9">
      <w:pPr>
        <w:pStyle w:val="ListSubhead1"/>
        <w:numPr>
          <w:ilvl w:val="0"/>
          <w:numId w:val="15"/>
        </w:numPr>
        <w:spacing w:after="0"/>
        <w:contextualSpacing/>
        <w:rPr>
          <w:b w:val="0"/>
        </w:rPr>
      </w:pPr>
      <w:r>
        <w:rPr>
          <w:b w:val="0"/>
        </w:rPr>
        <w:t>Foluso Afelumo</w:t>
      </w:r>
      <w:r>
        <w:rPr>
          <w:b w:val="0"/>
        </w:rPr>
        <w:t xml:space="preserve"> will lead a discussion on </w:t>
      </w:r>
      <w:r w:rsidR="00FB5ED9">
        <w:rPr>
          <w:b w:val="0"/>
        </w:rPr>
        <w:t xml:space="preserve">design components, </w:t>
      </w:r>
      <w:r w:rsidR="00EA3F2D">
        <w:rPr>
          <w:b w:val="0"/>
        </w:rPr>
        <w:t>status quo</w:t>
      </w:r>
      <w:r w:rsidR="00FB5ED9">
        <w:rPr>
          <w:b w:val="0"/>
        </w:rPr>
        <w:t xml:space="preserve"> and as time permits, solution options</w:t>
      </w:r>
      <w:r>
        <w:rPr>
          <w:b w:val="0"/>
        </w:rPr>
        <w:t xml:space="preserve"> within the matrix.</w:t>
      </w:r>
    </w:p>
    <w:p w:rsidR="00EE4D8F" w:rsidP="00EE4D8F" w14:paraId="3D229A49" w14:textId="77777777">
      <w:pPr>
        <w:pStyle w:val="ListSubhead1"/>
        <w:numPr>
          <w:ilvl w:val="0"/>
          <w:numId w:val="0"/>
        </w:numPr>
        <w:spacing w:after="0"/>
        <w:ind w:left="360"/>
        <w:contextualSpacing/>
        <w:rPr>
          <w:b w:val="0"/>
        </w:rPr>
      </w:pPr>
    </w:p>
    <w:p w:rsidR="00630D21" w:rsidP="00EE4D8F" w14:paraId="6CD14562" w14:textId="46C9BB5A">
      <w:pPr>
        <w:pStyle w:val="ListSubhead1"/>
        <w:numPr>
          <w:ilvl w:val="0"/>
          <w:numId w:val="0"/>
        </w:numPr>
        <w:spacing w:after="0"/>
        <w:ind w:left="360" w:hanging="360"/>
        <w:contextualSpacing/>
        <w:jc w:val="center"/>
        <w:rPr>
          <w:b w:val="0"/>
        </w:rPr>
      </w:pPr>
      <w:hyperlink r:id="rId5" w:history="1">
        <w:r w:rsidRPr="00630D21">
          <w:rPr>
            <w:rStyle w:val="Hyperlink"/>
            <w:b w:val="0"/>
          </w:rPr>
          <w:t>Issue Tracking: Evaluation of Energy Efficiency Resources</w:t>
        </w:r>
      </w:hyperlink>
    </w:p>
    <w:p w:rsidR="00D95C79" w:rsidP="007C3AEF" w14:paraId="1D7BFFC0" w14:textId="4334A773">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96D41E7" w14:textId="77777777" w:rsidTr="00D37C4F">
        <w:tblPrEx>
          <w:tblW w:w="0" w:type="auto"/>
          <w:tblLook w:val="04A0"/>
        </w:tblPrEx>
        <w:trPr>
          <w:trHeight w:val="331"/>
        </w:trPr>
        <w:tc>
          <w:tcPr>
            <w:tcW w:w="9285" w:type="dxa"/>
            <w:gridSpan w:val="5"/>
            <w:tcBorders>
              <w:top w:val="single" w:sz="4" w:space="0" w:color="auto"/>
              <w:bottom w:val="single" w:sz="4" w:space="0" w:color="auto"/>
              <w:right w:val="single" w:sz="4" w:space="0" w:color="auto"/>
            </w:tcBorders>
            <w:shd w:val="clear" w:color="auto" w:fill="E1F6FF"/>
          </w:tcPr>
          <w:p w:rsidR="00CF27EE" w:rsidRPr="00C10A93" w:rsidP="00CF27EE" w14:paraId="1618331B" w14:textId="56563EA5">
            <w:pPr>
              <w:pStyle w:val="DisclaimerHeading"/>
              <w:keepLines/>
              <w:spacing w:before="40" w:after="40" w:line="220" w:lineRule="exact"/>
              <w:jc w:val="center"/>
              <w:rPr>
                <w:b w:val="0"/>
                <w:color w:val="auto"/>
                <w:sz w:val="18"/>
                <w:szCs w:val="18"/>
              </w:rPr>
            </w:pPr>
            <w:r>
              <w:rPr>
                <w:b w:val="0"/>
                <w:color w:val="auto"/>
                <w:sz w:val="18"/>
                <w:szCs w:val="18"/>
              </w:rPr>
              <w:t>No Future Meeting Dates</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3647A741" w14:textId="77777777">
      <w:pPr>
        <w:spacing w:after="0" w:line="240" w:lineRule="auto"/>
        <w:rPr>
          <w:rFonts w:ascii="Arial Narrow" w:eastAsia="Times New Roman" w:hAnsi="Arial Narrow" w:cs="Times New Roman"/>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6" w:history="1">
        <w:r w:rsidRPr="00FA5955">
          <w:rPr>
            <w:rStyle w:val="Hyperlink"/>
          </w:rPr>
          <w:t>PJM Code of Conduct</w:t>
        </w:r>
      </w:hyperlink>
      <w:r w:rsidRPr="00FA5955">
        <w:t>.</w:t>
      </w:r>
    </w:p>
    <w:p w:rsidR="00B62597" w:rsidRPr="00B62597" w:rsidP="00B62597" w14:paraId="7F8D981C" w14:textId="77777777">
      <w:pPr>
        <w:spacing w:after="0" w:line="240" w:lineRule="auto"/>
        <w:rPr>
          <w:rFonts w:ascii="Arial Narrow" w:eastAsia="Times New Roman" w:hAnsi="Arial Narrow" w:cs="Times New Roman"/>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4A1C18" w:rsidRPr="00D827A6" w:rsidP="004A1C18" w14:paraId="7FEEC732" w14:textId="77777777">
      <w:pPr>
        <w:pStyle w:val="DisclaimerHeading"/>
        <w:spacing w:before="240"/>
      </w:pPr>
      <w:r w:rsidRPr="00D827A6">
        <w:t xml:space="preserve">Participant Use of </w:t>
      </w:r>
      <w:r w:rsidRPr="00D827A6">
        <w:t>Webex</w:t>
      </w:r>
      <w:r w:rsidRPr="00D827A6">
        <w:t xml:space="preserve"> Chat:</w:t>
      </w:r>
    </w:p>
    <w:p w:rsidR="004A1C18" w:rsidP="004A1C18" w14:paraId="065CCFF7" w14:textId="77777777">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w:t>
      </w:r>
      <w:r>
        <w:t>shall be shared</w:t>
      </w:r>
      <w:r>
        <w:t xml:space="preserve">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1"/>
      <w:footerReference w:type="even" r:id="rId12"/>
      <w:footerReference w:type="default" r:id="rId13"/>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647BBD5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E4D8F">
      <w:rPr>
        <w:rStyle w:val="PageNumber"/>
        <w:noProof/>
      </w:rPr>
      <w:t>1</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6EF5DA6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9A764D">
      <w:rPr>
        <w:sz w:val="16"/>
      </w:rPr>
      <w:t>January</w:t>
    </w:r>
    <w:r w:rsidR="009B43E9">
      <w:rPr>
        <w:sz w:val="16"/>
      </w:rPr>
      <w:t xml:space="preserve"> </w:t>
    </w:r>
    <w:r w:rsidR="008A30AB">
      <w:rPr>
        <w:sz w:val="16"/>
      </w:rPr>
      <w:t>11</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FA67BE"/>
    <w:multiLevelType w:val="multilevel"/>
    <w:tmpl w:val="57EC59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8"/>
  </w:num>
  <w:num w:numId="10">
    <w:abstractNumId w:val="1"/>
  </w:num>
  <w:num w:numId="11">
    <w:abstractNumId w:val="9"/>
  </w:num>
  <w:num w:numId="12">
    <w:abstractNumId w:val="5"/>
  </w:num>
  <w:num w:numId="13">
    <w:abstractNumId w:val="13"/>
  </w:num>
  <w:num w:numId="14">
    <w:abstractNumId w:val="6"/>
  </w:num>
  <w:num w:numId="15">
    <w:abstractNumId w:val="12"/>
  </w:num>
  <w:num w:numId="16">
    <w:abstractNumId w:val="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10057"/>
    <w:rsid w:val="00011A20"/>
    <w:rsid w:val="0001488E"/>
    <w:rsid w:val="00014CBA"/>
    <w:rsid w:val="000232DF"/>
    <w:rsid w:val="0002468B"/>
    <w:rsid w:val="00027F49"/>
    <w:rsid w:val="000333FF"/>
    <w:rsid w:val="00047686"/>
    <w:rsid w:val="0006798D"/>
    <w:rsid w:val="0009011A"/>
    <w:rsid w:val="00092135"/>
    <w:rsid w:val="00096230"/>
    <w:rsid w:val="00097582"/>
    <w:rsid w:val="00097907"/>
    <w:rsid w:val="000A67CD"/>
    <w:rsid w:val="000A7A8D"/>
    <w:rsid w:val="000B7424"/>
    <w:rsid w:val="000C222B"/>
    <w:rsid w:val="000C2702"/>
    <w:rsid w:val="000F68D3"/>
    <w:rsid w:val="0011028E"/>
    <w:rsid w:val="00117AF9"/>
    <w:rsid w:val="001204E6"/>
    <w:rsid w:val="0012178F"/>
    <w:rsid w:val="00121F58"/>
    <w:rsid w:val="001363BC"/>
    <w:rsid w:val="00140A75"/>
    <w:rsid w:val="00151CCA"/>
    <w:rsid w:val="00153929"/>
    <w:rsid w:val="00156212"/>
    <w:rsid w:val="00162841"/>
    <w:rsid w:val="00166572"/>
    <w:rsid w:val="001678E8"/>
    <w:rsid w:val="00170E02"/>
    <w:rsid w:val="00182CE6"/>
    <w:rsid w:val="00186F71"/>
    <w:rsid w:val="001B2242"/>
    <w:rsid w:val="001B5C54"/>
    <w:rsid w:val="001B753E"/>
    <w:rsid w:val="001C0CC0"/>
    <w:rsid w:val="001D3B68"/>
    <w:rsid w:val="001F06E2"/>
    <w:rsid w:val="001F5D16"/>
    <w:rsid w:val="0020195C"/>
    <w:rsid w:val="00205DA7"/>
    <w:rsid w:val="0020745E"/>
    <w:rsid w:val="002113BD"/>
    <w:rsid w:val="00222A30"/>
    <w:rsid w:val="00226417"/>
    <w:rsid w:val="002351B8"/>
    <w:rsid w:val="002417A8"/>
    <w:rsid w:val="002476AE"/>
    <w:rsid w:val="0025139E"/>
    <w:rsid w:val="00253DC8"/>
    <w:rsid w:val="0026645B"/>
    <w:rsid w:val="00275549"/>
    <w:rsid w:val="002A5349"/>
    <w:rsid w:val="002B2F98"/>
    <w:rsid w:val="002B4E48"/>
    <w:rsid w:val="002C555A"/>
    <w:rsid w:val="002C6057"/>
    <w:rsid w:val="002D6A60"/>
    <w:rsid w:val="002E4583"/>
    <w:rsid w:val="002E719B"/>
    <w:rsid w:val="002F118F"/>
    <w:rsid w:val="00303B33"/>
    <w:rsid w:val="003046F5"/>
    <w:rsid w:val="00305238"/>
    <w:rsid w:val="003103EC"/>
    <w:rsid w:val="00320B8C"/>
    <w:rsid w:val="003251CE"/>
    <w:rsid w:val="0033049B"/>
    <w:rsid w:val="00334877"/>
    <w:rsid w:val="00337321"/>
    <w:rsid w:val="0036208E"/>
    <w:rsid w:val="00366447"/>
    <w:rsid w:val="00393293"/>
    <w:rsid w:val="00394850"/>
    <w:rsid w:val="003954B5"/>
    <w:rsid w:val="003B21BD"/>
    <w:rsid w:val="003B55E1"/>
    <w:rsid w:val="003C17E2"/>
    <w:rsid w:val="003C3320"/>
    <w:rsid w:val="003C3F74"/>
    <w:rsid w:val="003C60FE"/>
    <w:rsid w:val="003C6C4B"/>
    <w:rsid w:val="003D0BD2"/>
    <w:rsid w:val="003D6BB5"/>
    <w:rsid w:val="003D7E5C"/>
    <w:rsid w:val="003E0DB6"/>
    <w:rsid w:val="003E7A73"/>
    <w:rsid w:val="00417CDA"/>
    <w:rsid w:val="00421864"/>
    <w:rsid w:val="0042454F"/>
    <w:rsid w:val="0042780B"/>
    <w:rsid w:val="0043255D"/>
    <w:rsid w:val="00441C7F"/>
    <w:rsid w:val="00442574"/>
    <w:rsid w:val="004450BA"/>
    <w:rsid w:val="00453664"/>
    <w:rsid w:val="00456B60"/>
    <w:rsid w:val="00457732"/>
    <w:rsid w:val="0046043F"/>
    <w:rsid w:val="004760CE"/>
    <w:rsid w:val="00482A1D"/>
    <w:rsid w:val="00491490"/>
    <w:rsid w:val="00494494"/>
    <w:rsid w:val="004969FA"/>
    <w:rsid w:val="004A1C18"/>
    <w:rsid w:val="004B14FF"/>
    <w:rsid w:val="004E20DF"/>
    <w:rsid w:val="004E4CE5"/>
    <w:rsid w:val="004F4723"/>
    <w:rsid w:val="004F6A01"/>
    <w:rsid w:val="00500CCB"/>
    <w:rsid w:val="00500F8F"/>
    <w:rsid w:val="00523049"/>
    <w:rsid w:val="00526770"/>
    <w:rsid w:val="00527104"/>
    <w:rsid w:val="00564DEE"/>
    <w:rsid w:val="00572333"/>
    <w:rsid w:val="0057441E"/>
    <w:rsid w:val="0057530D"/>
    <w:rsid w:val="00583E24"/>
    <w:rsid w:val="005860E1"/>
    <w:rsid w:val="00592F3A"/>
    <w:rsid w:val="005A53E8"/>
    <w:rsid w:val="005A5D0D"/>
    <w:rsid w:val="005B3078"/>
    <w:rsid w:val="005B41A5"/>
    <w:rsid w:val="005C0F8A"/>
    <w:rsid w:val="005C52F4"/>
    <w:rsid w:val="005D6D05"/>
    <w:rsid w:val="005E1DE2"/>
    <w:rsid w:val="005F49C4"/>
    <w:rsid w:val="005F5358"/>
    <w:rsid w:val="006024A0"/>
    <w:rsid w:val="00602967"/>
    <w:rsid w:val="0060317D"/>
    <w:rsid w:val="00606F11"/>
    <w:rsid w:val="00610F08"/>
    <w:rsid w:val="00612213"/>
    <w:rsid w:val="006123FD"/>
    <w:rsid w:val="006215C4"/>
    <w:rsid w:val="00630D21"/>
    <w:rsid w:val="00647FB4"/>
    <w:rsid w:val="00676226"/>
    <w:rsid w:val="00681CC9"/>
    <w:rsid w:val="00693862"/>
    <w:rsid w:val="006B3D14"/>
    <w:rsid w:val="006C738F"/>
    <w:rsid w:val="006D558D"/>
    <w:rsid w:val="006D6838"/>
    <w:rsid w:val="006E3FFB"/>
    <w:rsid w:val="006E50CB"/>
    <w:rsid w:val="006F178A"/>
    <w:rsid w:val="006F2903"/>
    <w:rsid w:val="006F5AA3"/>
    <w:rsid w:val="006F7A52"/>
    <w:rsid w:val="00706989"/>
    <w:rsid w:val="00711249"/>
    <w:rsid w:val="00712CAA"/>
    <w:rsid w:val="00716A8B"/>
    <w:rsid w:val="00722245"/>
    <w:rsid w:val="007265AC"/>
    <w:rsid w:val="00726EB6"/>
    <w:rsid w:val="00730F76"/>
    <w:rsid w:val="007312C2"/>
    <w:rsid w:val="00731697"/>
    <w:rsid w:val="007375E7"/>
    <w:rsid w:val="00740C22"/>
    <w:rsid w:val="007416F8"/>
    <w:rsid w:val="00741D30"/>
    <w:rsid w:val="00744414"/>
    <w:rsid w:val="00744A45"/>
    <w:rsid w:val="00752E87"/>
    <w:rsid w:val="0075340F"/>
    <w:rsid w:val="00754C6D"/>
    <w:rsid w:val="00755096"/>
    <w:rsid w:val="00764166"/>
    <w:rsid w:val="007703B4"/>
    <w:rsid w:val="00777623"/>
    <w:rsid w:val="00781CA3"/>
    <w:rsid w:val="007829E0"/>
    <w:rsid w:val="00785FCA"/>
    <w:rsid w:val="00786154"/>
    <w:rsid w:val="0079426C"/>
    <w:rsid w:val="007A34A3"/>
    <w:rsid w:val="007A7094"/>
    <w:rsid w:val="007C2954"/>
    <w:rsid w:val="007C3AEF"/>
    <w:rsid w:val="007D06DF"/>
    <w:rsid w:val="007D4F70"/>
    <w:rsid w:val="007D7D5E"/>
    <w:rsid w:val="007E55DF"/>
    <w:rsid w:val="007E6BFE"/>
    <w:rsid w:val="007E7CAB"/>
    <w:rsid w:val="008063D9"/>
    <w:rsid w:val="00811DF1"/>
    <w:rsid w:val="00812BDB"/>
    <w:rsid w:val="008322CB"/>
    <w:rsid w:val="00837B12"/>
    <w:rsid w:val="00841282"/>
    <w:rsid w:val="008449CB"/>
    <w:rsid w:val="008552A3"/>
    <w:rsid w:val="00865530"/>
    <w:rsid w:val="008755CE"/>
    <w:rsid w:val="00877E3E"/>
    <w:rsid w:val="00882652"/>
    <w:rsid w:val="00891E60"/>
    <w:rsid w:val="008920E5"/>
    <w:rsid w:val="008949F3"/>
    <w:rsid w:val="008969B9"/>
    <w:rsid w:val="008A30AB"/>
    <w:rsid w:val="008A49F8"/>
    <w:rsid w:val="008B0F5B"/>
    <w:rsid w:val="008B32F0"/>
    <w:rsid w:val="008B71C2"/>
    <w:rsid w:val="008C275E"/>
    <w:rsid w:val="008C3FAC"/>
    <w:rsid w:val="008C7968"/>
    <w:rsid w:val="008D52B8"/>
    <w:rsid w:val="008E5786"/>
    <w:rsid w:val="008F371C"/>
    <w:rsid w:val="008F6194"/>
    <w:rsid w:val="00903597"/>
    <w:rsid w:val="00904444"/>
    <w:rsid w:val="009159C2"/>
    <w:rsid w:val="00917386"/>
    <w:rsid w:val="00917DAB"/>
    <w:rsid w:val="0093284F"/>
    <w:rsid w:val="00933ECC"/>
    <w:rsid w:val="00936D3F"/>
    <w:rsid w:val="0097702E"/>
    <w:rsid w:val="00991528"/>
    <w:rsid w:val="009A5430"/>
    <w:rsid w:val="009A5F56"/>
    <w:rsid w:val="009A764D"/>
    <w:rsid w:val="009B43E9"/>
    <w:rsid w:val="009C15C4"/>
    <w:rsid w:val="009C1737"/>
    <w:rsid w:val="009C4174"/>
    <w:rsid w:val="009D1CB5"/>
    <w:rsid w:val="009F1E5D"/>
    <w:rsid w:val="009F22CD"/>
    <w:rsid w:val="009F53F9"/>
    <w:rsid w:val="00A05391"/>
    <w:rsid w:val="00A10427"/>
    <w:rsid w:val="00A11B6F"/>
    <w:rsid w:val="00A17F46"/>
    <w:rsid w:val="00A317A9"/>
    <w:rsid w:val="00A33BF6"/>
    <w:rsid w:val="00A41149"/>
    <w:rsid w:val="00A43A84"/>
    <w:rsid w:val="00A50F50"/>
    <w:rsid w:val="00A5156B"/>
    <w:rsid w:val="00A53210"/>
    <w:rsid w:val="00A56D57"/>
    <w:rsid w:val="00A60133"/>
    <w:rsid w:val="00A61BB7"/>
    <w:rsid w:val="00A646B1"/>
    <w:rsid w:val="00A70093"/>
    <w:rsid w:val="00A76229"/>
    <w:rsid w:val="00A7691B"/>
    <w:rsid w:val="00A81C33"/>
    <w:rsid w:val="00A83964"/>
    <w:rsid w:val="00A90865"/>
    <w:rsid w:val="00A9254D"/>
    <w:rsid w:val="00A931C3"/>
    <w:rsid w:val="00AB2D85"/>
    <w:rsid w:val="00AB5467"/>
    <w:rsid w:val="00AC2247"/>
    <w:rsid w:val="00AC3A95"/>
    <w:rsid w:val="00AC61B1"/>
    <w:rsid w:val="00AD1776"/>
    <w:rsid w:val="00AD2BAF"/>
    <w:rsid w:val="00B13B1D"/>
    <w:rsid w:val="00B14940"/>
    <w:rsid w:val="00B16A05"/>
    <w:rsid w:val="00B16D95"/>
    <w:rsid w:val="00B20316"/>
    <w:rsid w:val="00B336C8"/>
    <w:rsid w:val="00B348C5"/>
    <w:rsid w:val="00B34E3C"/>
    <w:rsid w:val="00B364DA"/>
    <w:rsid w:val="00B42DA7"/>
    <w:rsid w:val="00B545EA"/>
    <w:rsid w:val="00B600EB"/>
    <w:rsid w:val="00B602D8"/>
    <w:rsid w:val="00B60ADA"/>
    <w:rsid w:val="00B62597"/>
    <w:rsid w:val="00B627E6"/>
    <w:rsid w:val="00B62962"/>
    <w:rsid w:val="00B745EE"/>
    <w:rsid w:val="00B75908"/>
    <w:rsid w:val="00B82CC3"/>
    <w:rsid w:val="00B84A91"/>
    <w:rsid w:val="00B875C8"/>
    <w:rsid w:val="00BA6146"/>
    <w:rsid w:val="00BB4915"/>
    <w:rsid w:val="00BB531B"/>
    <w:rsid w:val="00BB6921"/>
    <w:rsid w:val="00BC159D"/>
    <w:rsid w:val="00BC44BA"/>
    <w:rsid w:val="00BC5311"/>
    <w:rsid w:val="00BD0854"/>
    <w:rsid w:val="00BE3822"/>
    <w:rsid w:val="00BF0C90"/>
    <w:rsid w:val="00BF331B"/>
    <w:rsid w:val="00C0168F"/>
    <w:rsid w:val="00C05CE1"/>
    <w:rsid w:val="00C10A93"/>
    <w:rsid w:val="00C137B6"/>
    <w:rsid w:val="00C25A15"/>
    <w:rsid w:val="00C26A61"/>
    <w:rsid w:val="00C32394"/>
    <w:rsid w:val="00C42CA1"/>
    <w:rsid w:val="00C439EC"/>
    <w:rsid w:val="00C4554D"/>
    <w:rsid w:val="00C5307B"/>
    <w:rsid w:val="00C63FA9"/>
    <w:rsid w:val="00C72168"/>
    <w:rsid w:val="00C757F4"/>
    <w:rsid w:val="00C75A9D"/>
    <w:rsid w:val="00C77A69"/>
    <w:rsid w:val="00C86B6A"/>
    <w:rsid w:val="00C91004"/>
    <w:rsid w:val="00C91947"/>
    <w:rsid w:val="00CA49B9"/>
    <w:rsid w:val="00CA58BC"/>
    <w:rsid w:val="00CB19DE"/>
    <w:rsid w:val="00CB2575"/>
    <w:rsid w:val="00CB475B"/>
    <w:rsid w:val="00CC1B47"/>
    <w:rsid w:val="00CE1FB2"/>
    <w:rsid w:val="00CE2EFD"/>
    <w:rsid w:val="00CE451E"/>
    <w:rsid w:val="00CF27EE"/>
    <w:rsid w:val="00CF7A05"/>
    <w:rsid w:val="00D00FD4"/>
    <w:rsid w:val="00D0157C"/>
    <w:rsid w:val="00D02FA9"/>
    <w:rsid w:val="00D06EC8"/>
    <w:rsid w:val="00D101CA"/>
    <w:rsid w:val="00D11E7B"/>
    <w:rsid w:val="00D136EA"/>
    <w:rsid w:val="00D204C1"/>
    <w:rsid w:val="00D251ED"/>
    <w:rsid w:val="00D318B9"/>
    <w:rsid w:val="00D35B87"/>
    <w:rsid w:val="00D5630A"/>
    <w:rsid w:val="00D57BFA"/>
    <w:rsid w:val="00D827A6"/>
    <w:rsid w:val="00D831E4"/>
    <w:rsid w:val="00D93E62"/>
    <w:rsid w:val="00D93ED8"/>
    <w:rsid w:val="00D95949"/>
    <w:rsid w:val="00D95C79"/>
    <w:rsid w:val="00DA23DE"/>
    <w:rsid w:val="00DB16E3"/>
    <w:rsid w:val="00DB29E9"/>
    <w:rsid w:val="00DB37C0"/>
    <w:rsid w:val="00DC2721"/>
    <w:rsid w:val="00DD6541"/>
    <w:rsid w:val="00DD66D0"/>
    <w:rsid w:val="00DD6ED2"/>
    <w:rsid w:val="00DE1772"/>
    <w:rsid w:val="00DE34CF"/>
    <w:rsid w:val="00DF106D"/>
    <w:rsid w:val="00DF1112"/>
    <w:rsid w:val="00DF77EF"/>
    <w:rsid w:val="00E02A6C"/>
    <w:rsid w:val="00E1605D"/>
    <w:rsid w:val="00E1739E"/>
    <w:rsid w:val="00E17884"/>
    <w:rsid w:val="00E24727"/>
    <w:rsid w:val="00E3139F"/>
    <w:rsid w:val="00E32B6B"/>
    <w:rsid w:val="00E362A5"/>
    <w:rsid w:val="00E4348C"/>
    <w:rsid w:val="00E5387A"/>
    <w:rsid w:val="00E55E84"/>
    <w:rsid w:val="00E626BB"/>
    <w:rsid w:val="00E77D72"/>
    <w:rsid w:val="00E84898"/>
    <w:rsid w:val="00EA3F2D"/>
    <w:rsid w:val="00EA7071"/>
    <w:rsid w:val="00EB68B0"/>
    <w:rsid w:val="00EB7A58"/>
    <w:rsid w:val="00EC298B"/>
    <w:rsid w:val="00ED71E0"/>
    <w:rsid w:val="00EE4D8F"/>
    <w:rsid w:val="00F070E8"/>
    <w:rsid w:val="00F17091"/>
    <w:rsid w:val="00F226B0"/>
    <w:rsid w:val="00F2753D"/>
    <w:rsid w:val="00F36C4D"/>
    <w:rsid w:val="00F40EE7"/>
    <w:rsid w:val="00F4190F"/>
    <w:rsid w:val="00F42A65"/>
    <w:rsid w:val="00F5077C"/>
    <w:rsid w:val="00F50F37"/>
    <w:rsid w:val="00F53E72"/>
    <w:rsid w:val="00F5613A"/>
    <w:rsid w:val="00F56FB5"/>
    <w:rsid w:val="00F57410"/>
    <w:rsid w:val="00F64F88"/>
    <w:rsid w:val="00F672AB"/>
    <w:rsid w:val="00F70D8B"/>
    <w:rsid w:val="00F75DBA"/>
    <w:rsid w:val="00F9070D"/>
    <w:rsid w:val="00F915D1"/>
    <w:rsid w:val="00F93051"/>
    <w:rsid w:val="00F977A3"/>
    <w:rsid w:val="00FA5955"/>
    <w:rsid w:val="00FA618F"/>
    <w:rsid w:val="00FA6B0D"/>
    <w:rsid w:val="00FB1739"/>
    <w:rsid w:val="00FB3A25"/>
    <w:rsid w:val="00FB5ED9"/>
    <w:rsid w:val="00FB7617"/>
    <w:rsid w:val="00FC26A7"/>
    <w:rsid w:val="00FC2B64"/>
    <w:rsid w:val="00FC2B9A"/>
    <w:rsid w:val="00FC5CAC"/>
    <w:rsid w:val="00FE2FE6"/>
    <w:rsid w:val="00FE5386"/>
    <w:rsid w:val="00FF2651"/>
    <w:rsid w:val="00FF2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line="240" w:lineRule="auto"/>
    </w:pPr>
    <w:rPr>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57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5a11fcf6-7d40-4caf-b432-f1d2b86167ce"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88A742F-3F8E-47AB-B74B-CC4A618C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