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June 6</w:t>
      </w:r>
      <w:r w:rsidR="003407ED">
        <w:t>, 2023</w:t>
      </w:r>
    </w:p>
    <w:p w:rsidR="00721E6E" w:rsidP="00721E6E">
      <w:pPr>
        <w:pStyle w:val="MeetingDetails"/>
      </w:pPr>
      <w:r>
        <w:t>1:00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60336E">
        <w:t>1</w:t>
      </w:r>
      <w:r w:rsidR="00721E6E">
        <w:t>:1</w:t>
      </w:r>
      <w:r w:rsidRPr="00527104">
        <w:t>0)</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1:10-3</w:t>
      </w:r>
      <w:r>
        <w:t>:00)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P="005C709B">
      <w:pPr>
        <w:pStyle w:val="SecondaryHeading-Numbered"/>
        <w:numPr>
          <w:ilvl w:val="0"/>
          <w:numId w:val="0"/>
        </w:numPr>
        <w:spacing w:after="120"/>
        <w:ind w:left="360"/>
        <w:rPr>
          <w:b w:val="0"/>
        </w:rPr>
      </w:pPr>
      <w:r>
        <w:rPr>
          <w:b w:val="0"/>
        </w:rPr>
        <w:t>Perry NG and Phil Yum, PJM</w:t>
      </w:r>
      <w:r w:rsidR="003407ED">
        <w:rPr>
          <w:b w:val="0"/>
        </w:rPr>
        <w:t>, will provide an update on Generation Deactivations</w:t>
      </w:r>
      <w:r>
        <w:rPr>
          <w:b w:val="0"/>
        </w:rPr>
        <w:t>.</w:t>
      </w:r>
    </w:p>
    <w:p w:rsidR="00062230" w:rsidRPr="00B7790E" w:rsidP="00062230">
      <w:pPr>
        <w:pStyle w:val="SecondaryHeading-Numbered"/>
        <w:spacing w:after="120"/>
        <w:rPr>
          <w:b w:val="0"/>
        </w:rPr>
      </w:pPr>
      <w:r>
        <w:t>Market Efficiency Update</w:t>
      </w:r>
    </w:p>
    <w:p w:rsidR="00062230" w:rsidRPr="00721E6E" w:rsidP="00062230">
      <w:pPr>
        <w:pStyle w:val="SecondaryHeading-Numbered"/>
        <w:numPr>
          <w:ilvl w:val="0"/>
          <w:numId w:val="0"/>
        </w:numPr>
        <w:spacing w:after="120"/>
        <w:ind w:left="360"/>
        <w:rPr>
          <w:b w:val="0"/>
        </w:rPr>
      </w:pPr>
      <w:r>
        <w:rPr>
          <w:b w:val="0"/>
        </w:rPr>
        <w:t>Nick Dumitriu</w:t>
      </w:r>
      <w:bookmarkStart w:id="2" w:name="_GoBack"/>
      <w:bookmarkEnd w:id="2"/>
      <w:r>
        <w:rPr>
          <w:b w:val="0"/>
        </w:rPr>
        <w:t xml:space="preserve">, </w:t>
      </w:r>
      <w:r>
        <w:rPr>
          <w:b w:val="0"/>
        </w:rPr>
        <w:t>PJM will provide an update on Market Efficiency.</w:t>
      </w:r>
    </w:p>
    <w:p w:rsidR="007B32CA" w:rsidRPr="00B7790E" w:rsidP="007B32CA">
      <w:pPr>
        <w:pStyle w:val="SecondaryHeading-Numbered"/>
        <w:spacing w:after="120"/>
        <w:rPr>
          <w:b w:val="0"/>
        </w:rPr>
      </w:pPr>
      <w:r>
        <w:t>APS</w:t>
      </w:r>
      <w:r w:rsidR="00C53ED7">
        <w:t xml:space="preserve"> Supplemental Projects</w:t>
      </w:r>
    </w:p>
    <w:p w:rsidR="007B32CA" w:rsidP="007B32CA">
      <w:pPr>
        <w:pStyle w:val="SecondaryHeading-Numbered"/>
        <w:numPr>
          <w:ilvl w:val="0"/>
          <w:numId w:val="0"/>
        </w:numPr>
        <w:spacing w:after="120"/>
        <w:ind w:left="360"/>
        <w:rPr>
          <w:b w:val="0"/>
        </w:rPr>
      </w:pPr>
      <w:r>
        <w:rPr>
          <w:b w:val="0"/>
        </w:rPr>
        <w:t xml:space="preserve">APS </w:t>
      </w:r>
      <w:r w:rsidR="00683ED6">
        <w:rPr>
          <w:b w:val="0"/>
        </w:rPr>
        <w:t>Planning will provide an update on</w:t>
      </w:r>
      <w:r>
        <w:rPr>
          <w:b w:val="0"/>
        </w:rPr>
        <w:t xml:space="preserve"> </w:t>
      </w:r>
      <w:r w:rsidR="00683ED6">
        <w:rPr>
          <w:b w:val="0"/>
        </w:rPr>
        <w:t>supplemental projects</w:t>
      </w:r>
      <w:r>
        <w:rPr>
          <w:b w:val="0"/>
        </w:rPr>
        <w:t>.</w:t>
      </w:r>
    </w:p>
    <w:p w:rsidR="00C53ED7" w:rsidRPr="00B7790E" w:rsidP="00C53ED7">
      <w:pPr>
        <w:pStyle w:val="SecondaryHeading-Numbered"/>
        <w:spacing w:after="120"/>
        <w:rPr>
          <w:b w:val="0"/>
        </w:rPr>
      </w:pPr>
      <w:r>
        <w:t>BGE</w:t>
      </w:r>
      <w:r>
        <w:t xml:space="preserve"> Supplemental Projects</w:t>
      </w:r>
    </w:p>
    <w:p w:rsidR="00C53ED7" w:rsidP="00C53ED7">
      <w:pPr>
        <w:pStyle w:val="SecondaryHeading-Numbered"/>
        <w:numPr>
          <w:ilvl w:val="0"/>
          <w:numId w:val="0"/>
        </w:numPr>
        <w:spacing w:after="120"/>
        <w:ind w:left="360"/>
        <w:rPr>
          <w:b w:val="0"/>
        </w:rPr>
      </w:pPr>
      <w:r>
        <w:rPr>
          <w:b w:val="0"/>
        </w:rPr>
        <w:t>BGE</w:t>
      </w:r>
      <w:r>
        <w:rPr>
          <w:b w:val="0"/>
        </w:rPr>
        <w:t xml:space="preserve"> Planning will provide an update on </w:t>
      </w:r>
      <w:r w:rsidR="00683ED6">
        <w:rPr>
          <w:b w:val="0"/>
        </w:rPr>
        <w:t>supplemental projects</w:t>
      </w:r>
      <w:r>
        <w:rPr>
          <w:b w:val="0"/>
        </w:rPr>
        <w:t>.</w:t>
      </w:r>
    </w:p>
    <w:p w:rsidR="00C53ED7" w:rsidRPr="00B7790E" w:rsidP="00C53ED7">
      <w:pPr>
        <w:pStyle w:val="SecondaryHeading-Numbered"/>
        <w:spacing w:after="120"/>
        <w:rPr>
          <w:b w:val="0"/>
        </w:rPr>
      </w:pPr>
      <w:r>
        <w:t>Dominion</w:t>
      </w:r>
      <w:r>
        <w:t xml:space="preserve"> Supplemental Projects</w:t>
      </w:r>
    </w:p>
    <w:p w:rsidR="00C53ED7" w:rsidP="00C53ED7">
      <w:pPr>
        <w:pStyle w:val="SecondaryHeading-Numbered"/>
        <w:numPr>
          <w:ilvl w:val="0"/>
          <w:numId w:val="0"/>
        </w:numPr>
        <w:spacing w:after="120"/>
        <w:ind w:left="360"/>
        <w:rPr>
          <w:b w:val="0"/>
        </w:rPr>
      </w:pPr>
      <w:r>
        <w:rPr>
          <w:b w:val="0"/>
        </w:rPr>
        <w:t>Dominion</w:t>
      </w:r>
      <w:r>
        <w:rPr>
          <w:b w:val="0"/>
        </w:rPr>
        <w:t xml:space="preserve"> Planning will provide an update </w:t>
      </w:r>
      <w:r w:rsidR="00683ED6">
        <w:rPr>
          <w:b w:val="0"/>
        </w:rPr>
        <w:t>on supplemental projects</w:t>
      </w:r>
      <w:r>
        <w:rPr>
          <w:b w:val="0"/>
        </w:rPr>
        <w:t>.</w:t>
      </w:r>
    </w:p>
    <w:p w:rsidR="00F66863" w:rsidRPr="00B7790E" w:rsidP="00F66863">
      <w:pPr>
        <w:pStyle w:val="SecondaryHeading-Numbered"/>
        <w:spacing w:after="120"/>
        <w:rPr>
          <w:b w:val="0"/>
        </w:rPr>
      </w:pPr>
      <w:r>
        <w:t>JCPL</w:t>
      </w:r>
      <w:r>
        <w:t xml:space="preserve"> Supplemental Projects</w:t>
      </w:r>
    </w:p>
    <w:p w:rsidR="00F66863" w:rsidP="00F66863">
      <w:pPr>
        <w:pStyle w:val="SecondaryHeading-Numbered"/>
        <w:numPr>
          <w:ilvl w:val="0"/>
          <w:numId w:val="0"/>
        </w:numPr>
        <w:spacing w:after="120"/>
        <w:ind w:left="360"/>
        <w:rPr>
          <w:b w:val="0"/>
        </w:rPr>
      </w:pPr>
      <w:r>
        <w:rPr>
          <w:b w:val="0"/>
        </w:rPr>
        <w:t>JCPL</w:t>
      </w:r>
      <w:r>
        <w:rPr>
          <w:b w:val="0"/>
        </w:rPr>
        <w:t xml:space="preserve"> Planning will provide an update on supplemental projects.</w:t>
      </w:r>
    </w:p>
    <w:p w:rsidR="00C53ED7" w:rsidRPr="00B7790E" w:rsidP="00C53ED7">
      <w:pPr>
        <w:pStyle w:val="SecondaryHeading-Numbered"/>
        <w:spacing w:after="120"/>
        <w:rPr>
          <w:b w:val="0"/>
        </w:rPr>
      </w:pPr>
      <w:r>
        <w:t>Penelec</w:t>
      </w:r>
      <w:r>
        <w:t xml:space="preserve"> Supplemental Projects</w:t>
      </w:r>
    </w:p>
    <w:p w:rsidR="00C53ED7" w:rsidP="00C53ED7">
      <w:pPr>
        <w:pStyle w:val="SecondaryHeading-Numbered"/>
        <w:numPr>
          <w:ilvl w:val="0"/>
          <w:numId w:val="0"/>
        </w:numPr>
        <w:spacing w:after="120"/>
        <w:ind w:left="360"/>
        <w:rPr>
          <w:b w:val="0"/>
        </w:rPr>
      </w:pPr>
      <w:r>
        <w:rPr>
          <w:b w:val="0"/>
        </w:rPr>
        <w:t xml:space="preserve">Penelec </w:t>
      </w:r>
      <w:r>
        <w:rPr>
          <w:b w:val="0"/>
        </w:rPr>
        <w:t xml:space="preserve">Planning will provide an update </w:t>
      </w:r>
      <w:r w:rsidR="00683ED6">
        <w:rPr>
          <w:b w:val="0"/>
        </w:rPr>
        <w:t>on supplemental projects</w:t>
      </w:r>
      <w:r>
        <w:rPr>
          <w:b w:val="0"/>
        </w:rPr>
        <w:t>.</w:t>
      </w:r>
    </w:p>
    <w:p w:rsidR="00F66863" w:rsidRPr="00B7790E" w:rsidP="00F66863">
      <w:pPr>
        <w:pStyle w:val="SecondaryHeading-Numbered"/>
        <w:spacing w:after="120"/>
        <w:rPr>
          <w:b w:val="0"/>
        </w:rPr>
      </w:pPr>
      <w:r>
        <w:t>Single Line Diagram and Contingency Conventions Guidance for Open Window Submittals</w:t>
      </w:r>
    </w:p>
    <w:p w:rsidR="00F66863" w:rsidP="00F66863">
      <w:pPr>
        <w:pStyle w:val="SecondaryHeading-Numbered"/>
        <w:numPr>
          <w:ilvl w:val="0"/>
          <w:numId w:val="0"/>
        </w:numPr>
        <w:spacing w:after="120"/>
        <w:ind w:left="360"/>
        <w:rPr>
          <w:b w:val="0"/>
        </w:rPr>
      </w:pPr>
      <w:r>
        <w:rPr>
          <w:b w:val="0"/>
        </w:rPr>
        <w:t>Jeffrey Goldberg, PJM, will present a format for submitting diagrams for future windows</w:t>
      </w:r>
      <w:r>
        <w:rPr>
          <w:b w:val="0"/>
        </w:rPr>
        <w:t>.</w:t>
      </w:r>
    </w:p>
    <w:p w:rsidR="009B2110" w:rsidRPr="00B7790E" w:rsidP="009B2110">
      <w:pPr>
        <w:pStyle w:val="SecondaryHeading-Numbered"/>
        <w:spacing w:after="120"/>
        <w:rPr>
          <w:b w:val="0"/>
        </w:rPr>
      </w:pPr>
      <w:r>
        <w:t>NJBPU New Jersey’s State Agreement Approach 2.0</w:t>
      </w:r>
    </w:p>
    <w:p w:rsidR="009B2110" w:rsidP="009B2110">
      <w:pPr>
        <w:pStyle w:val="SecondaryHeading-Numbered"/>
        <w:numPr>
          <w:ilvl w:val="0"/>
          <w:numId w:val="0"/>
        </w:numPr>
        <w:spacing w:after="120"/>
        <w:ind w:left="360"/>
        <w:rPr>
          <w:b w:val="0"/>
        </w:rPr>
      </w:pPr>
      <w:r>
        <w:rPr>
          <w:b w:val="0"/>
        </w:rPr>
        <w:t>Andrea Hart, NJBPU will present on NJ OSW SAA 2.0</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6C1318" w:rsidP="006C1318">
      <w:pPr>
        <w:pStyle w:val="ListSubhead1"/>
        <w:widowControl w:val="0"/>
        <w:numPr>
          <w:ilvl w:val="0"/>
          <w:numId w:val="13"/>
        </w:numPr>
        <w:spacing w:after="120"/>
      </w:pPr>
      <w:r>
        <w:t>Appendix – June 2023 Board TEAC Review</w:t>
      </w:r>
    </w:p>
    <w:p w:rsidR="00D268BA" w:rsidP="006C1318">
      <w:pPr>
        <w:pStyle w:val="ListSubhead1"/>
        <w:widowControl w:val="0"/>
        <w:numPr>
          <w:ilvl w:val="0"/>
          <w:numId w:val="0"/>
        </w:numPr>
        <w:spacing w:after="120"/>
        <w:rPr>
          <w:b w:val="0"/>
        </w:rPr>
      </w:pP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July 11,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July 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August 8,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31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August 4,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1F0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268BA">
      <w:t>June 1</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54434"/>
    <w:rsid w:val="001548F3"/>
    <w:rsid w:val="001678E8"/>
    <w:rsid w:val="00186224"/>
    <w:rsid w:val="001B2242"/>
    <w:rsid w:val="001C0CC0"/>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85C36"/>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66343"/>
    <w:rsid w:val="0047411C"/>
    <w:rsid w:val="00485F18"/>
    <w:rsid w:val="00491490"/>
    <w:rsid w:val="00494494"/>
    <w:rsid w:val="004969FA"/>
    <w:rsid w:val="004E026D"/>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30BAE"/>
    <w:rsid w:val="00972F90"/>
    <w:rsid w:val="00981688"/>
    <w:rsid w:val="00990D82"/>
    <w:rsid w:val="00991528"/>
    <w:rsid w:val="009A5430"/>
    <w:rsid w:val="009B2110"/>
    <w:rsid w:val="009B3A87"/>
    <w:rsid w:val="009B7AB5"/>
    <w:rsid w:val="009C15C4"/>
    <w:rsid w:val="009E3843"/>
    <w:rsid w:val="009E727E"/>
    <w:rsid w:val="009F53F9"/>
    <w:rsid w:val="009F659E"/>
    <w:rsid w:val="00A05391"/>
    <w:rsid w:val="00A244E9"/>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B793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3D30"/>
    <w:rsid w:val="00D471E5"/>
    <w:rsid w:val="00D53C88"/>
    <w:rsid w:val="00D55ABA"/>
    <w:rsid w:val="00D571C9"/>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91F0F"/>
    <w:rsid w:val="00FA2CEA"/>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B36EE"/>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CB46-4B88-4429-A6E5-E0F30CAE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