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8E35D2" w:rsidP="008E35D2">
      <w:pPr>
        <w:pStyle w:val="MeetingDetails"/>
      </w:pPr>
      <w:r>
        <w:t>Emerging Technologies Forum</w:t>
      </w:r>
      <w:r w:rsidRPr="008E35D2">
        <w:t xml:space="preserve"> </w:t>
      </w:r>
    </w:p>
    <w:p w:rsidR="00B62597" w:rsidRPr="008E35D2" w:rsidP="00755096">
      <w:pPr>
        <w:pStyle w:val="MeetingDetails"/>
        <w:rPr>
          <w:i/>
        </w:rPr>
      </w:pPr>
      <w:r w:rsidRPr="008E35D2">
        <w:rPr>
          <w:i/>
        </w:rPr>
        <w:t>Energy Transition and Energy Storage: Can we have one without the other?</w:t>
      </w:r>
    </w:p>
    <w:p w:rsidR="008E35D2" w:rsidP="00755096">
      <w:pPr>
        <w:pStyle w:val="MeetingDetails"/>
      </w:pPr>
    </w:p>
    <w:p w:rsidR="00B62597" w:rsidRPr="00B62597" w:rsidP="00755096">
      <w:pPr>
        <w:pStyle w:val="MeetingDetails"/>
      </w:pPr>
      <w:r>
        <w:t>Teleconference/WebEx Only</w:t>
      </w:r>
    </w:p>
    <w:p w:rsidR="00B62597" w:rsidRPr="00B62597" w:rsidP="00755096">
      <w:pPr>
        <w:pStyle w:val="MeetingDetails"/>
      </w:pPr>
      <w:r>
        <w:t>March 16</w:t>
      </w:r>
      <w:r w:rsidR="002B2F98">
        <w:t xml:space="preserve">, </w:t>
      </w:r>
      <w:r w:rsidR="0097702E">
        <w:t>2023</w:t>
      </w:r>
    </w:p>
    <w:p w:rsidR="00B62597" w:rsidRPr="00B62597" w:rsidP="00755096">
      <w:pPr>
        <w:pStyle w:val="MeetingDetails"/>
        <w:rPr>
          <w:sz w:val="28"/>
          <w:u w:val="single"/>
        </w:rPr>
      </w:pPr>
      <w:r>
        <w:t>9</w:t>
      </w:r>
      <w:r w:rsidR="002B2F98">
        <w:t xml:space="preserve">:00 </w:t>
      </w:r>
      <w:r w:rsidR="00010057">
        <w:t>a</w:t>
      </w:r>
      <w:r>
        <w:t>.m. – 12:00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061BE2">
        <w:t>on (9:00-9:1</w:t>
      </w:r>
      <w:r w:rsidRPr="00527104">
        <w:t>0)</w:t>
      </w:r>
    </w:p>
    <w:bookmarkEnd w:id="0"/>
    <w:bookmarkEnd w:id="1"/>
    <w:p w:rsidR="002C6057" w:rsidRPr="00FD1ACE" w:rsidP="00FD1ACE">
      <w:pPr>
        <w:pStyle w:val="SecondaryHeading-Numbered"/>
        <w:rPr>
          <w:b w:val="0"/>
          <w:sz w:val="22"/>
        </w:rPr>
      </w:pPr>
      <w:r w:rsidRPr="00CC4C03">
        <w:rPr>
          <w:b w:val="0"/>
          <w:sz w:val="22"/>
        </w:rPr>
        <w:t>Chris Callaghan</w:t>
      </w:r>
      <w:r>
        <w:rPr>
          <w:b w:val="0"/>
          <w:sz w:val="22"/>
        </w:rPr>
        <w:t>, facilitator, and Ed Kovler</w:t>
      </w:r>
      <w:r w:rsidRPr="00CC4C03">
        <w:rPr>
          <w:b w:val="0"/>
          <w:sz w:val="22"/>
        </w:rPr>
        <w:t>,</w:t>
      </w:r>
      <w:r>
        <w:rPr>
          <w:b w:val="0"/>
          <w:sz w:val="22"/>
        </w:rPr>
        <w:t xml:space="preserve"> acting</w:t>
      </w:r>
      <w:r w:rsidRPr="00CC4C03">
        <w:rPr>
          <w:b w:val="0"/>
          <w:sz w:val="22"/>
        </w:rPr>
        <w:t xml:space="preserve"> secretary, will open the meeting, review the</w:t>
      </w:r>
      <w:r w:rsidR="00FD1ACE">
        <w:rPr>
          <w:b w:val="0"/>
          <w:sz w:val="22"/>
        </w:rPr>
        <w:t xml:space="preserve"> </w:t>
      </w:r>
      <w:r w:rsidRPr="00FD1ACE">
        <w:rPr>
          <w:b w:val="0"/>
          <w:sz w:val="22"/>
        </w:rPr>
        <w:t>meeting/media participation guidelines, review minutes from the last meeting, and review the agenda.</w:t>
      </w:r>
    </w:p>
    <w:p w:rsidR="001D3B68" w:rsidRPr="00DB29E9" w:rsidP="007C2954">
      <w:pPr>
        <w:pStyle w:val="PrimaryHeading"/>
      </w:pPr>
      <w:r>
        <w:t>Opening</w:t>
      </w:r>
      <w:r w:rsidR="00CC4C03">
        <w:t xml:space="preserve"> (9:10-9:3</w:t>
      </w:r>
      <w:r>
        <w:t>0)</w:t>
      </w:r>
    </w:p>
    <w:p w:rsidR="00B62597" w:rsidRPr="003F4316" w:rsidP="003F4316">
      <w:pPr>
        <w:pStyle w:val="SecondaryHeading-Numbered"/>
        <w:rPr>
          <w:b w:val="0"/>
          <w:sz w:val="22"/>
        </w:rPr>
      </w:pPr>
      <w:r>
        <w:rPr>
          <w:b w:val="0"/>
          <w:sz w:val="22"/>
        </w:rPr>
        <w:t>Danielle Croop</w:t>
      </w:r>
      <w:r w:rsidRPr="003F4316" w:rsidR="003F4316">
        <w:rPr>
          <w:b w:val="0"/>
          <w:sz w:val="22"/>
        </w:rPr>
        <w:t>, PJM,</w:t>
      </w:r>
      <w:r w:rsidR="003F4316">
        <w:rPr>
          <w:b w:val="0"/>
          <w:sz w:val="22"/>
        </w:rPr>
        <w:t xml:space="preserve"> will </w:t>
      </w:r>
      <w:r w:rsidR="0085220F">
        <w:rPr>
          <w:b w:val="0"/>
          <w:sz w:val="22"/>
        </w:rPr>
        <w:t>discuss PJM’s outlook on the energy transition</w:t>
      </w:r>
      <w:r w:rsidRPr="003F4316" w:rsidR="003F4316">
        <w:rPr>
          <w:b w:val="0"/>
          <w:sz w:val="22"/>
        </w:rPr>
        <w:t xml:space="preserve"> an</w:t>
      </w:r>
      <w:r w:rsidR="003F4316">
        <w:rPr>
          <w:b w:val="0"/>
          <w:sz w:val="22"/>
        </w:rPr>
        <w:t>d where storage can play a role.</w:t>
      </w:r>
    </w:p>
    <w:p w:rsidR="001D3B68" w:rsidRPr="00FD1ACE" w:rsidP="007C2954">
      <w:pPr>
        <w:pStyle w:val="PrimaryHeading"/>
      </w:pPr>
      <w:r>
        <w:t xml:space="preserve">3. </w:t>
      </w:r>
      <w:r w:rsidRPr="00FD1ACE" w:rsidR="00CC4C03">
        <w:t>Panel Discussion</w:t>
      </w:r>
      <w:r w:rsidRPr="00FD1ACE" w:rsidR="003F4316">
        <w:t xml:space="preserve"> </w:t>
      </w:r>
      <w:r w:rsidRPr="00FD1ACE" w:rsidR="00CC4C03">
        <w:t>(9:30-10:45</w:t>
      </w:r>
      <w:r w:rsidRPr="00FD1ACE">
        <w:t>)</w:t>
      </w:r>
    </w:p>
    <w:tbl>
      <w:tblPr>
        <w:tblStyle w:val="TableGrid"/>
        <w:tblW w:w="9175" w:type="dxa"/>
        <w:jc w:val="center"/>
        <w:tblLook w:val="04A0"/>
      </w:tblPr>
      <w:tblGrid>
        <w:gridCol w:w="5935"/>
        <w:gridCol w:w="3240"/>
      </w:tblGrid>
      <w:tr w:rsidTr="00C21EBF">
        <w:tblPrEx>
          <w:tblW w:w="9175" w:type="dxa"/>
          <w:jc w:val="center"/>
          <w:tblLook w:val="04A0"/>
        </w:tblPrEx>
        <w:trPr>
          <w:jc w:val="center"/>
        </w:trPr>
        <w:tc>
          <w:tcPr>
            <w:tcW w:w="9175" w:type="dxa"/>
            <w:gridSpan w:val="2"/>
            <w:shd w:val="clear" w:color="auto" w:fill="013366" w:themeFill="accent1"/>
          </w:tcPr>
          <w:p w:rsidR="004B51AE" w:rsidRPr="00C21EBF" w:rsidP="004B51AE">
            <w:pPr>
              <w:pStyle w:val="SecondaryHeading-Numbered"/>
              <w:numPr>
                <w:ilvl w:val="0"/>
                <w:numId w:val="0"/>
              </w:numPr>
              <w:jc w:val="center"/>
              <w:rPr>
                <w:color w:val="FFFFFF" w:themeColor="background1"/>
              </w:rPr>
            </w:pPr>
            <w:r w:rsidRPr="00C21EBF">
              <w:rPr>
                <w:color w:val="FFFFFF" w:themeColor="background1"/>
              </w:rPr>
              <w:t>Advancing Storage Applications in ISO/RTOs – Where are we 5</w:t>
            </w:r>
            <w:r w:rsidR="008E35D2">
              <w:rPr>
                <w:color w:val="FFFFFF" w:themeColor="background1"/>
              </w:rPr>
              <w:t xml:space="preserve"> to 10</w:t>
            </w:r>
            <w:r w:rsidRPr="00C21EBF">
              <w:rPr>
                <w:color w:val="FFFFFF" w:themeColor="background1"/>
              </w:rPr>
              <w:t xml:space="preserve"> years from now?</w:t>
            </w:r>
          </w:p>
        </w:tc>
      </w:tr>
      <w:tr w:rsidTr="00C21EBF">
        <w:tblPrEx>
          <w:tblW w:w="9175" w:type="dxa"/>
          <w:jc w:val="center"/>
          <w:tblLook w:val="04A0"/>
        </w:tblPrEx>
        <w:trPr>
          <w:jc w:val="center"/>
        </w:trPr>
        <w:tc>
          <w:tcPr>
            <w:tcW w:w="9175" w:type="dxa"/>
            <w:gridSpan w:val="2"/>
          </w:tcPr>
          <w:p w:rsidR="004B51AE" w:rsidP="004B51AE">
            <w:pPr>
              <w:pStyle w:val="SecondaryHeading-Numbered"/>
              <w:numPr>
                <w:ilvl w:val="0"/>
                <w:numId w:val="0"/>
              </w:numPr>
              <w:jc w:val="center"/>
              <w:rPr>
                <w:b w:val="0"/>
              </w:rPr>
            </w:pPr>
            <w:r>
              <w:rPr>
                <w:b w:val="0"/>
              </w:rPr>
              <w:t>Moderator: Walter Graf, PJM</w:t>
            </w:r>
            <w:r w:rsidR="008E35D2">
              <w:rPr>
                <w:b w:val="0"/>
              </w:rPr>
              <w:t>, Senior Director, Economics</w:t>
            </w:r>
          </w:p>
        </w:tc>
      </w:tr>
      <w:tr w:rsidTr="0085220F">
        <w:tblPrEx>
          <w:tblW w:w="9175" w:type="dxa"/>
          <w:jc w:val="center"/>
          <w:tblLook w:val="04A0"/>
        </w:tblPrEx>
        <w:trPr>
          <w:jc w:val="center"/>
        </w:trPr>
        <w:tc>
          <w:tcPr>
            <w:tcW w:w="5935" w:type="dxa"/>
          </w:tcPr>
          <w:p w:rsidR="00C21EBF" w:rsidRPr="00C21EBF" w:rsidP="004B51AE">
            <w:pPr>
              <w:pStyle w:val="SecondaryHeading-Numbered"/>
              <w:numPr>
                <w:ilvl w:val="0"/>
                <w:numId w:val="0"/>
              </w:numPr>
              <w:rPr>
                <w:b w:val="0"/>
                <w:i/>
                <w:sz w:val="22"/>
              </w:rPr>
            </w:pPr>
            <w:r>
              <w:rPr>
                <w:b w:val="0"/>
                <w:i/>
                <w:sz w:val="22"/>
              </w:rPr>
              <w:t>Challenges and opportunities operating a 4,000+MW fleet of batteries</w:t>
            </w:r>
          </w:p>
        </w:tc>
        <w:tc>
          <w:tcPr>
            <w:tcW w:w="3240" w:type="dxa"/>
          </w:tcPr>
          <w:p w:rsidR="00C21EBF" w:rsidRPr="00C21EBF" w:rsidP="008E35D2">
            <w:pPr>
              <w:pStyle w:val="SecondaryHeading-Numbered"/>
              <w:numPr>
                <w:ilvl w:val="0"/>
                <w:numId w:val="0"/>
              </w:numPr>
              <w:rPr>
                <w:b w:val="0"/>
                <w:sz w:val="22"/>
              </w:rPr>
            </w:pPr>
            <w:r w:rsidRPr="00C21EBF">
              <w:rPr>
                <w:b w:val="0"/>
                <w:sz w:val="22"/>
              </w:rPr>
              <w:t>Gabe Murtaugh, CAISO</w:t>
            </w:r>
            <w:r w:rsidR="00213654">
              <w:rPr>
                <w:b w:val="0"/>
                <w:sz w:val="22"/>
              </w:rPr>
              <w:t xml:space="preserve">, </w:t>
            </w:r>
            <w:r w:rsidR="008E35D2">
              <w:rPr>
                <w:b w:val="0"/>
                <w:sz w:val="22"/>
              </w:rPr>
              <w:t>Storage Sector</w:t>
            </w:r>
            <w:r w:rsidR="00213654">
              <w:rPr>
                <w:b w:val="0"/>
                <w:sz w:val="22"/>
              </w:rPr>
              <w:t xml:space="preserve"> Manager</w:t>
            </w:r>
          </w:p>
        </w:tc>
      </w:tr>
      <w:tr w:rsidTr="0085220F">
        <w:tblPrEx>
          <w:tblW w:w="9175" w:type="dxa"/>
          <w:jc w:val="center"/>
          <w:tblLook w:val="04A0"/>
        </w:tblPrEx>
        <w:trPr>
          <w:jc w:val="center"/>
        </w:trPr>
        <w:tc>
          <w:tcPr>
            <w:tcW w:w="5935" w:type="dxa"/>
          </w:tcPr>
          <w:p w:rsidR="00C21EBF" w:rsidRPr="00C21EBF" w:rsidP="0085220F">
            <w:pPr>
              <w:pStyle w:val="SecondaryHeading-Numbered"/>
              <w:numPr>
                <w:ilvl w:val="0"/>
                <w:numId w:val="0"/>
              </w:numPr>
              <w:rPr>
                <w:b w:val="0"/>
                <w:i/>
                <w:sz w:val="22"/>
              </w:rPr>
            </w:pPr>
            <w:r>
              <w:rPr>
                <w:b w:val="0"/>
                <w:i/>
                <w:sz w:val="22"/>
              </w:rPr>
              <w:t>I</w:t>
            </w:r>
            <w:r w:rsidR="00C24F16">
              <w:rPr>
                <w:b w:val="0"/>
                <w:i/>
                <w:sz w:val="22"/>
              </w:rPr>
              <w:t>mplement</w:t>
            </w:r>
            <w:r>
              <w:rPr>
                <w:b w:val="0"/>
                <w:i/>
                <w:sz w:val="22"/>
              </w:rPr>
              <w:t>ing</w:t>
            </w:r>
            <w:r w:rsidR="00C24F16">
              <w:rPr>
                <w:b w:val="0"/>
                <w:i/>
                <w:sz w:val="22"/>
              </w:rPr>
              <w:t xml:space="preserve"> the Virginia Clean Econo</w:t>
            </w:r>
            <w:r>
              <w:rPr>
                <w:b w:val="0"/>
                <w:i/>
                <w:sz w:val="22"/>
              </w:rPr>
              <w:t xml:space="preserve">my Act </w:t>
            </w:r>
            <w:r w:rsidR="000428AD">
              <w:rPr>
                <w:b w:val="0"/>
                <w:i/>
                <w:sz w:val="22"/>
              </w:rPr>
              <w:t>storage mandate</w:t>
            </w:r>
          </w:p>
        </w:tc>
        <w:tc>
          <w:tcPr>
            <w:tcW w:w="3240" w:type="dxa"/>
          </w:tcPr>
          <w:p w:rsidR="00C21EBF" w:rsidRPr="00C21EBF" w:rsidP="008E35D2">
            <w:pPr>
              <w:pStyle w:val="SecondaryHeading-Numbered"/>
              <w:numPr>
                <w:ilvl w:val="0"/>
                <w:numId w:val="0"/>
              </w:numPr>
              <w:rPr>
                <w:b w:val="0"/>
                <w:sz w:val="22"/>
              </w:rPr>
            </w:pPr>
            <w:r w:rsidRPr="00C21EBF">
              <w:rPr>
                <w:b w:val="0"/>
                <w:sz w:val="22"/>
              </w:rPr>
              <w:t>Brandon Martin, Dominion</w:t>
            </w:r>
            <w:r w:rsidR="008E35D2">
              <w:rPr>
                <w:b w:val="0"/>
                <w:sz w:val="22"/>
              </w:rPr>
              <w:t xml:space="preserve"> Energy</w:t>
            </w:r>
            <w:r w:rsidR="00213654">
              <w:rPr>
                <w:b w:val="0"/>
                <w:sz w:val="22"/>
              </w:rPr>
              <w:t xml:space="preserve">, </w:t>
            </w:r>
            <w:r w:rsidR="008E35D2">
              <w:rPr>
                <w:b w:val="0"/>
                <w:sz w:val="22"/>
              </w:rPr>
              <w:t>Manager of Business Development, Energy Storage</w:t>
            </w:r>
          </w:p>
        </w:tc>
      </w:tr>
      <w:tr w:rsidTr="0085220F">
        <w:tblPrEx>
          <w:tblW w:w="9175" w:type="dxa"/>
          <w:jc w:val="center"/>
          <w:tblLook w:val="04A0"/>
        </w:tblPrEx>
        <w:trPr>
          <w:jc w:val="center"/>
        </w:trPr>
        <w:tc>
          <w:tcPr>
            <w:tcW w:w="5935" w:type="dxa"/>
          </w:tcPr>
          <w:p w:rsidR="00C21EBF" w:rsidRPr="00C21EBF" w:rsidP="00C24F16">
            <w:pPr>
              <w:pStyle w:val="SecondaryHeading-Numbered"/>
              <w:numPr>
                <w:ilvl w:val="0"/>
                <w:numId w:val="0"/>
              </w:numPr>
              <w:rPr>
                <w:b w:val="0"/>
                <w:i/>
                <w:sz w:val="22"/>
              </w:rPr>
            </w:pPr>
            <w:r>
              <w:rPr>
                <w:b w:val="0"/>
                <w:i/>
                <w:sz w:val="22"/>
              </w:rPr>
              <w:t>Emerging use cases and applications for storage</w:t>
            </w:r>
          </w:p>
        </w:tc>
        <w:tc>
          <w:tcPr>
            <w:tcW w:w="3240" w:type="dxa"/>
          </w:tcPr>
          <w:p w:rsidR="00C21EBF" w:rsidRPr="00C21EBF" w:rsidP="004B51AE">
            <w:pPr>
              <w:pStyle w:val="SecondaryHeading-Numbered"/>
              <w:numPr>
                <w:ilvl w:val="0"/>
                <w:numId w:val="0"/>
              </w:numPr>
              <w:rPr>
                <w:b w:val="0"/>
                <w:sz w:val="22"/>
              </w:rPr>
            </w:pPr>
            <w:r w:rsidRPr="00C21EBF">
              <w:rPr>
                <w:b w:val="0"/>
                <w:sz w:val="22"/>
              </w:rPr>
              <w:t xml:space="preserve">Kiran </w:t>
            </w:r>
            <w:r w:rsidRPr="00C21EBF">
              <w:rPr>
                <w:b w:val="0"/>
                <w:sz w:val="22"/>
              </w:rPr>
              <w:t>Kumaraswamy</w:t>
            </w:r>
            <w:r w:rsidRPr="00C21EBF">
              <w:rPr>
                <w:b w:val="0"/>
                <w:sz w:val="22"/>
              </w:rPr>
              <w:t xml:space="preserve">, </w:t>
            </w:r>
            <w:r w:rsidRPr="00C21EBF">
              <w:rPr>
                <w:b w:val="0"/>
                <w:sz w:val="22"/>
              </w:rPr>
              <w:t>Fluence</w:t>
            </w:r>
            <w:r w:rsidR="00213654">
              <w:rPr>
                <w:b w:val="0"/>
                <w:sz w:val="22"/>
              </w:rPr>
              <w:t>, VP of Growth</w:t>
            </w:r>
            <w:r w:rsidR="008E35D2">
              <w:rPr>
                <w:b w:val="0"/>
                <w:sz w:val="22"/>
              </w:rPr>
              <w:t xml:space="preserve"> and Head of Commercial</w:t>
            </w:r>
          </w:p>
        </w:tc>
      </w:tr>
      <w:tr w:rsidTr="0085220F">
        <w:tblPrEx>
          <w:tblW w:w="9175" w:type="dxa"/>
          <w:jc w:val="center"/>
          <w:tblLook w:val="04A0"/>
        </w:tblPrEx>
        <w:trPr>
          <w:jc w:val="center"/>
        </w:trPr>
        <w:tc>
          <w:tcPr>
            <w:tcW w:w="5935" w:type="dxa"/>
          </w:tcPr>
          <w:p w:rsidR="00C21EBF" w:rsidRPr="00C21EBF" w:rsidP="00213654">
            <w:pPr>
              <w:pStyle w:val="SecondaryHeading-Numbered"/>
              <w:numPr>
                <w:ilvl w:val="0"/>
                <w:numId w:val="0"/>
              </w:numPr>
              <w:rPr>
                <w:b w:val="0"/>
                <w:i/>
                <w:sz w:val="22"/>
              </w:rPr>
            </w:pPr>
            <w:r w:rsidRPr="00C21EBF">
              <w:rPr>
                <w:b w:val="0"/>
                <w:i/>
                <w:sz w:val="22"/>
              </w:rPr>
              <w:t xml:space="preserve">Question </w:t>
            </w:r>
            <w:r w:rsidR="00213654">
              <w:rPr>
                <w:b w:val="0"/>
                <w:i/>
                <w:sz w:val="22"/>
              </w:rPr>
              <w:t>&amp;</w:t>
            </w:r>
            <w:r w:rsidRPr="00C21EBF">
              <w:rPr>
                <w:b w:val="0"/>
                <w:i/>
                <w:sz w:val="22"/>
              </w:rPr>
              <w:t xml:space="preserve"> Answer Session</w:t>
            </w:r>
          </w:p>
        </w:tc>
        <w:tc>
          <w:tcPr>
            <w:tcW w:w="3240" w:type="dxa"/>
          </w:tcPr>
          <w:p w:rsidR="00C21EBF" w:rsidRPr="00C21EBF" w:rsidP="0085220F">
            <w:pPr>
              <w:pStyle w:val="SecondaryHeading-Numbered"/>
              <w:numPr>
                <w:ilvl w:val="0"/>
                <w:numId w:val="0"/>
              </w:numPr>
              <w:rPr>
                <w:b w:val="0"/>
                <w:sz w:val="22"/>
              </w:rPr>
            </w:pPr>
            <w:r w:rsidRPr="00C21EBF">
              <w:rPr>
                <w:b w:val="0"/>
                <w:sz w:val="22"/>
              </w:rPr>
              <w:t>Panel</w:t>
            </w:r>
            <w:r w:rsidR="008E35D2">
              <w:rPr>
                <w:b w:val="0"/>
                <w:sz w:val="22"/>
              </w:rPr>
              <w:t>, Moderator, and Attendees</w:t>
            </w:r>
          </w:p>
        </w:tc>
      </w:tr>
    </w:tbl>
    <w:p w:rsidR="00061BE2" w:rsidP="00C21EBF">
      <w:pPr>
        <w:pStyle w:val="PrimaryHeading"/>
        <w:spacing w:before="240"/>
      </w:pPr>
      <w:r>
        <w:t>Break</w:t>
      </w:r>
      <w:r>
        <w:t xml:space="preserve"> </w:t>
      </w:r>
      <w:r>
        <w:t>(10:45-11</w:t>
      </w:r>
      <w:r>
        <w:t>:00</w:t>
      </w:r>
      <w:r w:rsidRPr="00DB29E9">
        <w:t>)</w:t>
      </w:r>
    </w:p>
    <w:p w:rsidR="00CC4C03" w:rsidRPr="00C21EBF" w:rsidP="00CC4C03">
      <w:pPr>
        <w:pStyle w:val="MeetingDetails"/>
        <w:rPr>
          <w:sz w:val="2"/>
        </w:rPr>
      </w:pPr>
    </w:p>
    <w:p w:rsidR="00CC4C03" w:rsidP="00CC4C03">
      <w:pPr>
        <w:pStyle w:val="PrimaryHeading"/>
      </w:pPr>
      <w:r>
        <w:t xml:space="preserve">Moderated Discussion </w:t>
      </w:r>
      <w:r w:rsidR="003F4316">
        <w:t>(11:00</w:t>
      </w:r>
      <w:r>
        <w:t>-11</w:t>
      </w:r>
      <w:r w:rsidR="003F4316">
        <w:t>:45</w:t>
      </w:r>
      <w:r w:rsidRPr="00DB29E9">
        <w:t>)</w:t>
      </w:r>
    </w:p>
    <w:p w:rsidR="00061BE2" w:rsidRPr="001B2242" w:rsidP="00C21EBF">
      <w:pPr>
        <w:pStyle w:val="SecondaryHeading-Numbered"/>
        <w:numPr>
          <w:ilvl w:val="0"/>
          <w:numId w:val="0"/>
        </w:numPr>
        <w:ind w:left="270" w:hanging="270"/>
        <w:rPr>
          <w:b w:val="0"/>
        </w:rPr>
      </w:pPr>
      <w:r>
        <w:rPr>
          <w:b w:val="0"/>
        </w:rPr>
        <w:t xml:space="preserve">4.  </w:t>
      </w:r>
      <w:r w:rsidR="00FD1ACE">
        <w:rPr>
          <w:b w:val="0"/>
        </w:rPr>
        <w:t>Scott Baker, PJM, will moderate a discussion with Jo</w:t>
      </w:r>
      <w:r w:rsidR="006E4304">
        <w:rPr>
          <w:b w:val="0"/>
        </w:rPr>
        <w:t>nathon</w:t>
      </w:r>
      <w:r w:rsidR="00FD1ACE">
        <w:rPr>
          <w:b w:val="0"/>
        </w:rPr>
        <w:t xml:space="preserve"> Glass, </w:t>
      </w:r>
      <w:r w:rsidR="00996D07">
        <w:rPr>
          <w:b w:val="0"/>
        </w:rPr>
        <w:t>T</w:t>
      </w:r>
      <w:r w:rsidR="00A352E0">
        <w:rPr>
          <w:b w:val="0"/>
        </w:rPr>
        <w:t xml:space="preserve">echnology to </w:t>
      </w:r>
      <w:r w:rsidR="00996D07">
        <w:rPr>
          <w:b w:val="0"/>
        </w:rPr>
        <w:t>M</w:t>
      </w:r>
      <w:r w:rsidR="00A352E0">
        <w:rPr>
          <w:b w:val="0"/>
        </w:rPr>
        <w:t xml:space="preserve">arket </w:t>
      </w:r>
      <w:r w:rsidR="00996D07">
        <w:rPr>
          <w:b w:val="0"/>
        </w:rPr>
        <w:t>A</w:t>
      </w:r>
      <w:r w:rsidR="00A352E0">
        <w:rPr>
          <w:b w:val="0"/>
        </w:rPr>
        <w:t xml:space="preserve">dvisor at </w:t>
      </w:r>
      <w:r w:rsidR="00996D07">
        <w:rPr>
          <w:b w:val="0"/>
        </w:rPr>
        <w:t>ARPA-E</w:t>
      </w:r>
      <w:r w:rsidR="00FD1ACE">
        <w:rPr>
          <w:b w:val="0"/>
        </w:rPr>
        <w:t xml:space="preserve">, on </w:t>
      </w:r>
      <w:r w:rsidR="00A352E0">
        <w:rPr>
          <w:b w:val="0"/>
        </w:rPr>
        <w:t>investing in breakthrou</w:t>
      </w:r>
      <w:bookmarkStart w:id="2" w:name="_GoBack"/>
      <w:bookmarkEnd w:id="2"/>
      <w:r w:rsidR="00A352E0">
        <w:rPr>
          <w:b w:val="0"/>
        </w:rPr>
        <w:t>gh storage technology.</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pPr>
              <w:pStyle w:val="PrimaryHeading"/>
              <w:spacing w:after="0"/>
              <w:rPr>
                <w:b/>
              </w:rPr>
            </w:pPr>
            <w:r w:rsidRPr="003F4316">
              <w:rPr>
                <w:b/>
              </w:rPr>
              <w:t xml:space="preserve">Wrap up – Action Items and Future Agenda Topics </w:t>
            </w:r>
            <w:r>
              <w:rPr>
                <w:b/>
              </w:rPr>
              <w:t>(11:45-12:00</w:t>
            </w:r>
            <w:r w:rsidRPr="0095194C">
              <w:rPr>
                <w:b/>
              </w:rPr>
              <w:t>)</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pPr>
              <w:pStyle w:val="AttendeesList"/>
            </w:pPr>
            <w:r w:rsidRPr="00A352E0">
              <w:rPr>
                <w:b w:val="0"/>
                <w:bCs w:val="0"/>
                <w:sz w:val="24"/>
                <w:szCs w:val="22"/>
              </w:rPr>
              <w:t>The facilitation team will review action items from the meeting and take requests for future agenda items.</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90"/>
        <w:gridCol w:w="3420"/>
        <w:gridCol w:w="1890"/>
        <w:gridCol w:w="1365"/>
      </w:tblGrid>
      <w:tr w:rsidTr="003F431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03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9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36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3F4316">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9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42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9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36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3F4316">
        <w:tblPrEx>
          <w:tblW w:w="0" w:type="auto"/>
          <w:tblLook w:val="04A0"/>
        </w:tblPrEx>
        <w:trPr>
          <w:trHeight w:val="331"/>
        </w:trPr>
        <w:tc>
          <w:tcPr>
            <w:tcW w:w="1620" w:type="dxa"/>
            <w:tcBorders>
              <w:top w:val="single" w:sz="6" w:space="0" w:color="FFFFFF" w:themeColor="background1"/>
              <w:bottom w:val="single" w:sz="4" w:space="0" w:color="auto"/>
              <w:right w:val="single" w:sz="4" w:space="0" w:color="auto"/>
            </w:tcBorders>
            <w:shd w:val="clear" w:color="auto" w:fill="E1F6FF"/>
          </w:tcPr>
          <w:p w:rsidR="00DF1112" w:rsidRPr="00CC4C03" w:rsidP="00D060CC">
            <w:pPr>
              <w:pStyle w:val="DisclaimerHeading"/>
              <w:spacing w:before="40" w:after="40" w:line="220" w:lineRule="exact"/>
              <w:jc w:val="left"/>
              <w:rPr>
                <w:i w:val="0"/>
                <w:color w:val="auto"/>
                <w:sz w:val="18"/>
                <w:szCs w:val="18"/>
              </w:rPr>
            </w:pPr>
            <w:r w:rsidRPr="00CC4C03">
              <w:rPr>
                <w:i w:val="0"/>
                <w:color w:val="auto"/>
                <w:sz w:val="18"/>
                <w:szCs w:val="18"/>
              </w:rPr>
              <w:t>June 2, 2023</w:t>
            </w:r>
          </w:p>
        </w:tc>
        <w:tc>
          <w:tcPr>
            <w:tcW w:w="990" w:type="dxa"/>
            <w:tcBorders>
              <w:top w:val="single" w:sz="6" w:space="0" w:color="FFFFFF" w:themeColor="background1"/>
              <w:left w:val="single" w:sz="4" w:space="0" w:color="auto"/>
              <w:bottom w:val="single" w:sz="4" w:space="0" w:color="auto"/>
              <w:right w:val="single" w:sz="8" w:space="0" w:color="auto"/>
            </w:tcBorders>
          </w:tcPr>
          <w:p w:rsidR="00DF1112" w:rsidRPr="00C10A93" w:rsidP="00D060CC">
            <w:pPr>
              <w:pStyle w:val="DisclaimerHeading"/>
              <w:spacing w:before="40" w:after="40" w:line="220" w:lineRule="exact"/>
              <w:rPr>
                <w:b w:val="0"/>
                <w:color w:val="auto"/>
                <w:sz w:val="18"/>
                <w:szCs w:val="18"/>
              </w:rPr>
            </w:pPr>
            <w:r>
              <w:rPr>
                <w:b w:val="0"/>
                <w:color w:val="auto"/>
                <w:sz w:val="18"/>
                <w:szCs w:val="18"/>
              </w:rPr>
              <w:t>9:00-12:00</w:t>
            </w:r>
          </w:p>
        </w:tc>
        <w:tc>
          <w:tcPr>
            <w:tcW w:w="3420" w:type="dxa"/>
            <w:tcBorders>
              <w:top w:val="single" w:sz="6" w:space="0" w:color="FFFFFF" w:themeColor="background1"/>
              <w:left w:val="single" w:sz="8" w:space="0" w:color="auto"/>
              <w:bottom w:val="single" w:sz="4" w:space="0" w:color="auto"/>
              <w:right w:val="single" w:sz="8" w:space="0" w:color="auto"/>
            </w:tcBorders>
          </w:tcPr>
          <w:p w:rsidR="00DF1112" w:rsidRPr="00C10A93" w:rsidP="00D060CC">
            <w:pPr>
              <w:pStyle w:val="AttendeesList"/>
              <w:spacing w:before="40" w:after="40" w:line="220" w:lineRule="exact"/>
              <w:rPr>
                <w:szCs w:val="18"/>
              </w:rPr>
            </w:pPr>
            <w:r>
              <w:rPr>
                <w:szCs w:val="18"/>
              </w:rPr>
              <w:t>WebEx</w:t>
            </w:r>
          </w:p>
        </w:tc>
        <w:tc>
          <w:tcPr>
            <w:tcW w:w="1890" w:type="dxa"/>
            <w:tcBorders>
              <w:top w:val="single" w:sz="6" w:space="0" w:color="FFFFFF" w:themeColor="background1"/>
              <w:left w:val="single" w:sz="4" w:space="0" w:color="auto"/>
              <w:bottom w:val="single" w:sz="4" w:space="0" w:color="auto"/>
              <w:right w:val="single" w:sz="4" w:space="0" w:color="auto"/>
            </w:tcBorders>
          </w:tcPr>
          <w:p w:rsidR="00DF1112" w:rsidRPr="00C10A93" w:rsidP="00D060CC">
            <w:pPr>
              <w:pStyle w:val="DisclaimerHeading"/>
              <w:spacing w:before="40" w:after="40" w:line="220" w:lineRule="exact"/>
              <w:jc w:val="center"/>
              <w:rPr>
                <w:b w:val="0"/>
                <w:color w:val="auto"/>
                <w:sz w:val="18"/>
                <w:szCs w:val="18"/>
              </w:rPr>
            </w:pPr>
            <w:r>
              <w:rPr>
                <w:b w:val="0"/>
                <w:color w:val="auto"/>
                <w:sz w:val="18"/>
                <w:szCs w:val="18"/>
              </w:rPr>
              <w:t>May 25, 2023</w:t>
            </w:r>
          </w:p>
        </w:tc>
        <w:tc>
          <w:tcPr>
            <w:tcW w:w="1365" w:type="dxa"/>
            <w:tcBorders>
              <w:top w:val="single" w:sz="6" w:space="0" w:color="FFFFFF" w:themeColor="background1"/>
              <w:left w:val="single" w:sz="4" w:space="0" w:color="auto"/>
              <w:bottom w:val="single" w:sz="4" w:space="0" w:color="auto"/>
              <w:right w:val="single" w:sz="4" w:space="0" w:color="auto"/>
            </w:tcBorders>
          </w:tcPr>
          <w:p w:rsidR="00DF1112" w:rsidRPr="00C10A93" w:rsidP="00D060CC">
            <w:pPr>
              <w:pStyle w:val="DisclaimerHeading"/>
              <w:spacing w:before="40" w:after="40" w:line="220" w:lineRule="exact"/>
              <w:jc w:val="center"/>
              <w:rPr>
                <w:b w:val="0"/>
                <w:color w:val="auto"/>
                <w:sz w:val="18"/>
                <w:szCs w:val="18"/>
              </w:rPr>
            </w:pPr>
            <w:r>
              <w:rPr>
                <w:b w:val="0"/>
                <w:color w:val="auto"/>
                <w:sz w:val="18"/>
                <w:szCs w:val="18"/>
              </w:rPr>
              <w:t>May 30, 2023</w:t>
            </w:r>
          </w:p>
        </w:tc>
      </w:tr>
      <w:tr w:rsidTr="003F431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DF1112" w:rsidRPr="00CC4C03" w:rsidP="00D060CC">
            <w:pPr>
              <w:pStyle w:val="DisclaimerHeading"/>
              <w:spacing w:before="40" w:after="40" w:line="220" w:lineRule="exact"/>
              <w:jc w:val="left"/>
              <w:rPr>
                <w:i w:val="0"/>
                <w:color w:val="auto"/>
                <w:sz w:val="18"/>
                <w:szCs w:val="18"/>
              </w:rPr>
            </w:pPr>
            <w:r w:rsidRPr="00CC4C03">
              <w:rPr>
                <w:i w:val="0"/>
                <w:color w:val="auto"/>
                <w:sz w:val="18"/>
                <w:szCs w:val="18"/>
              </w:rPr>
              <w:t>September 13, 2023</w:t>
            </w:r>
          </w:p>
        </w:tc>
        <w:tc>
          <w:tcPr>
            <w:tcW w:w="990" w:type="dxa"/>
            <w:tcBorders>
              <w:top w:val="single" w:sz="4" w:space="0" w:color="auto"/>
              <w:left w:val="single" w:sz="4" w:space="0" w:color="auto"/>
              <w:bottom w:val="single" w:sz="4" w:space="0" w:color="auto"/>
              <w:right w:val="single" w:sz="8" w:space="0" w:color="auto"/>
            </w:tcBorders>
          </w:tcPr>
          <w:p w:rsidR="00DF1112" w:rsidRPr="00C10A93" w:rsidP="00D060CC">
            <w:pPr>
              <w:pStyle w:val="DisclaimerHeading"/>
              <w:spacing w:before="40" w:after="40" w:line="220" w:lineRule="exact"/>
              <w:rPr>
                <w:b w:val="0"/>
                <w:color w:val="auto"/>
                <w:sz w:val="18"/>
                <w:szCs w:val="18"/>
              </w:rPr>
            </w:pPr>
            <w:r>
              <w:rPr>
                <w:b w:val="0"/>
                <w:color w:val="auto"/>
                <w:sz w:val="18"/>
                <w:szCs w:val="18"/>
              </w:rPr>
              <w:t>9:00-12:00</w:t>
            </w:r>
          </w:p>
        </w:tc>
        <w:tc>
          <w:tcPr>
            <w:tcW w:w="3420" w:type="dxa"/>
            <w:tcBorders>
              <w:top w:val="single" w:sz="4" w:space="0" w:color="auto"/>
              <w:left w:val="single" w:sz="8" w:space="0" w:color="auto"/>
              <w:bottom w:val="single" w:sz="4" w:space="0" w:color="auto"/>
              <w:right w:val="single" w:sz="8" w:space="0" w:color="auto"/>
            </w:tcBorders>
          </w:tcPr>
          <w:p w:rsidR="00DF1112" w:rsidRPr="00C10A93" w:rsidP="00D060CC">
            <w:pPr>
              <w:pStyle w:val="AttendeesList"/>
              <w:spacing w:before="40" w:after="40" w:line="220" w:lineRule="exact"/>
              <w:rPr>
                <w:szCs w:val="18"/>
              </w:rPr>
            </w:pPr>
            <w:r>
              <w:rPr>
                <w:szCs w:val="18"/>
              </w:rPr>
              <w:t>WebEx</w:t>
            </w:r>
          </w:p>
        </w:tc>
        <w:tc>
          <w:tcPr>
            <w:tcW w:w="1890" w:type="dxa"/>
            <w:tcBorders>
              <w:top w:val="single" w:sz="4" w:space="0" w:color="auto"/>
              <w:left w:val="single" w:sz="4" w:space="0" w:color="auto"/>
              <w:bottom w:val="single" w:sz="4" w:space="0" w:color="auto"/>
              <w:right w:val="single" w:sz="4" w:space="0" w:color="auto"/>
            </w:tcBorders>
          </w:tcPr>
          <w:p w:rsidR="00DF1112" w:rsidRPr="00C10A93" w:rsidP="00D060CC">
            <w:pPr>
              <w:pStyle w:val="DisclaimerHeading"/>
              <w:spacing w:before="40" w:after="40" w:line="220" w:lineRule="exact"/>
              <w:jc w:val="center"/>
              <w:rPr>
                <w:b w:val="0"/>
                <w:color w:val="auto"/>
                <w:sz w:val="18"/>
                <w:szCs w:val="18"/>
              </w:rPr>
            </w:pPr>
            <w:r>
              <w:rPr>
                <w:b w:val="0"/>
                <w:color w:val="auto"/>
                <w:sz w:val="18"/>
                <w:szCs w:val="18"/>
              </w:rPr>
              <w:t>Sept. 5, 2023</w:t>
            </w:r>
          </w:p>
        </w:tc>
        <w:tc>
          <w:tcPr>
            <w:tcW w:w="1365" w:type="dxa"/>
            <w:tcBorders>
              <w:top w:val="single" w:sz="4" w:space="0" w:color="auto"/>
              <w:left w:val="single" w:sz="4" w:space="0" w:color="auto"/>
              <w:bottom w:val="single" w:sz="4" w:space="0" w:color="auto"/>
              <w:right w:val="single" w:sz="4" w:space="0" w:color="auto"/>
            </w:tcBorders>
          </w:tcPr>
          <w:p w:rsidR="00DF1112" w:rsidRPr="00C10A93" w:rsidP="00D060CC">
            <w:pPr>
              <w:pStyle w:val="DisclaimerHeading"/>
              <w:spacing w:before="40" w:after="40" w:line="220" w:lineRule="exact"/>
              <w:jc w:val="center"/>
              <w:rPr>
                <w:b w:val="0"/>
                <w:color w:val="auto"/>
                <w:sz w:val="18"/>
                <w:szCs w:val="18"/>
              </w:rPr>
            </w:pPr>
            <w:r>
              <w:rPr>
                <w:b w:val="0"/>
                <w:color w:val="auto"/>
                <w:sz w:val="18"/>
                <w:szCs w:val="18"/>
              </w:rPr>
              <w:t>Sept. 8, 2023</w:t>
            </w:r>
          </w:p>
        </w:tc>
      </w:tr>
      <w:tr w:rsidTr="003F431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DF1112" w:rsidRPr="00CC4C03" w:rsidP="00D060CC">
            <w:pPr>
              <w:pStyle w:val="DisclaimerHeading"/>
              <w:spacing w:before="40" w:after="40" w:line="220" w:lineRule="exact"/>
              <w:jc w:val="left"/>
              <w:rPr>
                <w:i w:val="0"/>
                <w:color w:val="auto"/>
                <w:sz w:val="18"/>
                <w:szCs w:val="18"/>
              </w:rPr>
            </w:pPr>
            <w:r w:rsidRPr="00CC4C03">
              <w:rPr>
                <w:i w:val="0"/>
                <w:color w:val="auto"/>
                <w:sz w:val="18"/>
                <w:szCs w:val="18"/>
              </w:rPr>
              <w:t>December 12, 2023</w:t>
            </w:r>
          </w:p>
        </w:tc>
        <w:tc>
          <w:tcPr>
            <w:tcW w:w="990" w:type="dxa"/>
            <w:tcBorders>
              <w:top w:val="single" w:sz="4" w:space="0" w:color="auto"/>
              <w:left w:val="single" w:sz="4" w:space="0" w:color="auto"/>
              <w:bottom w:val="single" w:sz="4" w:space="0" w:color="auto"/>
              <w:right w:val="single" w:sz="8" w:space="0" w:color="auto"/>
            </w:tcBorders>
          </w:tcPr>
          <w:p w:rsidR="00DF1112" w:rsidRPr="00C10A93" w:rsidP="00D060CC">
            <w:pPr>
              <w:pStyle w:val="DisclaimerHeading"/>
              <w:spacing w:before="40" w:after="40" w:line="220" w:lineRule="exact"/>
              <w:rPr>
                <w:b w:val="0"/>
                <w:color w:val="auto"/>
                <w:sz w:val="18"/>
                <w:szCs w:val="18"/>
              </w:rPr>
            </w:pPr>
            <w:r>
              <w:rPr>
                <w:b w:val="0"/>
                <w:color w:val="auto"/>
                <w:sz w:val="18"/>
                <w:szCs w:val="18"/>
              </w:rPr>
              <w:t>9:00-12:00</w:t>
            </w:r>
          </w:p>
        </w:tc>
        <w:tc>
          <w:tcPr>
            <w:tcW w:w="3420" w:type="dxa"/>
            <w:tcBorders>
              <w:top w:val="single" w:sz="4" w:space="0" w:color="auto"/>
              <w:left w:val="single" w:sz="8" w:space="0" w:color="auto"/>
              <w:bottom w:val="single" w:sz="4" w:space="0" w:color="auto"/>
              <w:right w:val="single" w:sz="8" w:space="0" w:color="auto"/>
            </w:tcBorders>
          </w:tcPr>
          <w:p w:rsidR="00DF1112" w:rsidRPr="00C10A93" w:rsidP="00CC4C03">
            <w:pPr>
              <w:pStyle w:val="AttendeesList"/>
              <w:spacing w:before="40" w:after="40" w:line="220" w:lineRule="exact"/>
              <w:rPr>
                <w:b/>
                <w:szCs w:val="18"/>
              </w:rPr>
            </w:pPr>
            <w:r>
              <w:rPr>
                <w:szCs w:val="18"/>
              </w:rPr>
              <w:t>WebEx</w:t>
            </w:r>
          </w:p>
        </w:tc>
        <w:tc>
          <w:tcPr>
            <w:tcW w:w="1890" w:type="dxa"/>
            <w:tcBorders>
              <w:top w:val="single" w:sz="4" w:space="0" w:color="auto"/>
              <w:left w:val="single" w:sz="4" w:space="0" w:color="auto"/>
              <w:bottom w:val="single" w:sz="4" w:space="0" w:color="auto"/>
              <w:right w:val="single" w:sz="4" w:space="0" w:color="auto"/>
            </w:tcBorders>
          </w:tcPr>
          <w:p w:rsidR="00DF1112" w:rsidRPr="00C10A93" w:rsidP="003F4316">
            <w:pPr>
              <w:pStyle w:val="DisclaimerHeading"/>
              <w:spacing w:before="40" w:after="40" w:line="220" w:lineRule="exact"/>
              <w:jc w:val="center"/>
              <w:rPr>
                <w:b w:val="0"/>
                <w:color w:val="auto"/>
                <w:sz w:val="18"/>
                <w:szCs w:val="18"/>
              </w:rPr>
            </w:pPr>
            <w:r>
              <w:rPr>
                <w:b w:val="0"/>
                <w:color w:val="auto"/>
                <w:sz w:val="18"/>
                <w:szCs w:val="18"/>
              </w:rPr>
              <w:t>Dec. 4, 2023</w:t>
            </w:r>
          </w:p>
        </w:tc>
        <w:tc>
          <w:tcPr>
            <w:tcW w:w="1365" w:type="dxa"/>
            <w:tcBorders>
              <w:top w:val="single" w:sz="4" w:space="0" w:color="auto"/>
              <w:left w:val="single" w:sz="4" w:space="0" w:color="auto"/>
              <w:bottom w:val="single" w:sz="4" w:space="0" w:color="auto"/>
              <w:right w:val="single" w:sz="4" w:space="0" w:color="auto"/>
            </w:tcBorders>
          </w:tcPr>
          <w:p w:rsidR="00DF1112" w:rsidRPr="00C10A93" w:rsidP="003F4316">
            <w:pPr>
              <w:pStyle w:val="DisclaimerHeading"/>
              <w:spacing w:before="40" w:after="40" w:line="220" w:lineRule="exact"/>
              <w:jc w:val="center"/>
              <w:rPr>
                <w:b w:val="0"/>
                <w:color w:val="auto"/>
                <w:sz w:val="18"/>
                <w:szCs w:val="18"/>
              </w:rPr>
            </w:pPr>
            <w:r>
              <w:rPr>
                <w:b w:val="0"/>
                <w:color w:val="auto"/>
                <w:sz w:val="18"/>
                <w:szCs w:val="18"/>
              </w:rPr>
              <w:t>Dec. 7, 2023</w:t>
            </w:r>
          </w:p>
        </w:tc>
      </w:tr>
    </w:tbl>
    <w:p w:rsidR="003C3320" w:rsidP="003C3320">
      <w:pPr>
        <w:pStyle w:val="DisclaimerBodyCopy"/>
        <w:rPr>
          <w:sz w:val="24"/>
        </w:rPr>
      </w:pPr>
      <w:r>
        <w:br w:type="page"/>
      </w:r>
    </w:p>
    <w:p w:rsidR="00B62597" w:rsidP="00337321">
      <w:pPr>
        <w:pStyle w:val="Author"/>
      </w:pPr>
      <w:r>
        <w:t xml:space="preserve">Author: </w:t>
      </w:r>
      <w:r w:rsidR="003F4316">
        <w:t>Joseph Tutino</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P="00027F49">
      <w:pPr>
        <w:pStyle w:val="DisclaimerBodyCopy"/>
      </w:pPr>
    </w:p>
    <w:p w:rsidR="00D2316E" w:rsidP="00D2316E">
      <w:pPr>
        <w:pStyle w:val="DisclaimerHeading"/>
      </w:pPr>
      <w:r>
        <w:rPr>
          <w:rStyle w:val="Strong"/>
        </w:rPr>
        <w:t xml:space="preserve">Participant Use of </w:t>
      </w:r>
      <w:r>
        <w:rPr>
          <w:rStyle w:val="Strong"/>
        </w:rPr>
        <w:t>Webex</w:t>
      </w:r>
      <w:r>
        <w:rPr>
          <w:rStyle w:val="Strong"/>
        </w:rPr>
        <w:t xml:space="preserve"> Chat:</w:t>
      </w:r>
    </w:p>
    <w:p w:rsidR="00D2316E" w:rsidP="00D2316E">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t>
      </w:r>
      <w:r>
        <w:t>Webex</w:t>
      </w:r>
      <w:r>
        <w:t xml:space="preserve"> chat for any other commentary should be limited to short phrases.  Detailed commentary or substantive dialog shall be shared orally by entering the speaker queue.  </w:t>
      </w:r>
    </w:p>
    <w:p w:rsidR="00D2316E"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9C15C4" w:rsidRPr="009C15C4" w:rsidP="009C15C4">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96D07">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4316">
      <w:t xml:space="preserve">As of March </w:t>
    </w:r>
    <w:r w:rsidR="00EE6F87">
      <w:t>09</w:t>
    </w:r>
    <w:r w:rsidR="00A56D57">
      <w:t>, 202</w:t>
    </w:r>
    <w:r w:rsidR="0097702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7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119"/>
    <w:rsid w:val="00000119"/>
    <w:rsid w:val="00010057"/>
    <w:rsid w:val="00012CED"/>
    <w:rsid w:val="000232DF"/>
    <w:rsid w:val="00027F49"/>
    <w:rsid w:val="000333FF"/>
    <w:rsid w:val="000428AD"/>
    <w:rsid w:val="00061BE2"/>
    <w:rsid w:val="0006798D"/>
    <w:rsid w:val="00092135"/>
    <w:rsid w:val="00117AF9"/>
    <w:rsid w:val="00121F58"/>
    <w:rsid w:val="001678E8"/>
    <w:rsid w:val="00170E02"/>
    <w:rsid w:val="00186F8A"/>
    <w:rsid w:val="001B2242"/>
    <w:rsid w:val="001C0CC0"/>
    <w:rsid w:val="001D3B68"/>
    <w:rsid w:val="001F4079"/>
    <w:rsid w:val="002113BD"/>
    <w:rsid w:val="00213654"/>
    <w:rsid w:val="0025139E"/>
    <w:rsid w:val="00256A8E"/>
    <w:rsid w:val="002B2F98"/>
    <w:rsid w:val="002C6057"/>
    <w:rsid w:val="002D2017"/>
    <w:rsid w:val="00305238"/>
    <w:rsid w:val="003251CE"/>
    <w:rsid w:val="00337321"/>
    <w:rsid w:val="00394850"/>
    <w:rsid w:val="003B55E1"/>
    <w:rsid w:val="003C17E2"/>
    <w:rsid w:val="003C3320"/>
    <w:rsid w:val="003D7E5C"/>
    <w:rsid w:val="003E7A73"/>
    <w:rsid w:val="003F4316"/>
    <w:rsid w:val="0046043F"/>
    <w:rsid w:val="00491490"/>
    <w:rsid w:val="00494494"/>
    <w:rsid w:val="004969FA"/>
    <w:rsid w:val="004B51AE"/>
    <w:rsid w:val="00527104"/>
    <w:rsid w:val="00564DEE"/>
    <w:rsid w:val="0057441E"/>
    <w:rsid w:val="005A5D0D"/>
    <w:rsid w:val="005D6D05"/>
    <w:rsid w:val="006024A0"/>
    <w:rsid w:val="00602967"/>
    <w:rsid w:val="00606F11"/>
    <w:rsid w:val="006C738F"/>
    <w:rsid w:val="006E4304"/>
    <w:rsid w:val="006F7A52"/>
    <w:rsid w:val="00711249"/>
    <w:rsid w:val="00712CAA"/>
    <w:rsid w:val="00716A8B"/>
    <w:rsid w:val="00716F3F"/>
    <w:rsid w:val="00730F76"/>
    <w:rsid w:val="00744A45"/>
    <w:rsid w:val="0075340F"/>
    <w:rsid w:val="00754C6D"/>
    <w:rsid w:val="00755096"/>
    <w:rsid w:val="007703B4"/>
    <w:rsid w:val="00777623"/>
    <w:rsid w:val="007A34A3"/>
    <w:rsid w:val="007C2954"/>
    <w:rsid w:val="007D4F70"/>
    <w:rsid w:val="007E7CAB"/>
    <w:rsid w:val="00837B12"/>
    <w:rsid w:val="00841282"/>
    <w:rsid w:val="0085220F"/>
    <w:rsid w:val="008552A3"/>
    <w:rsid w:val="00860903"/>
    <w:rsid w:val="00882652"/>
    <w:rsid w:val="008E35D2"/>
    <w:rsid w:val="00917386"/>
    <w:rsid w:val="0095194C"/>
    <w:rsid w:val="0097702E"/>
    <w:rsid w:val="00991528"/>
    <w:rsid w:val="00996D07"/>
    <w:rsid w:val="009A5430"/>
    <w:rsid w:val="009C15C4"/>
    <w:rsid w:val="009D7613"/>
    <w:rsid w:val="009F53F9"/>
    <w:rsid w:val="00A05391"/>
    <w:rsid w:val="00A317A9"/>
    <w:rsid w:val="00A352E0"/>
    <w:rsid w:val="00A41149"/>
    <w:rsid w:val="00A56D57"/>
    <w:rsid w:val="00A931C3"/>
    <w:rsid w:val="00AA6C34"/>
    <w:rsid w:val="00AC2247"/>
    <w:rsid w:val="00B16D95"/>
    <w:rsid w:val="00B20316"/>
    <w:rsid w:val="00B34E3C"/>
    <w:rsid w:val="00B62597"/>
    <w:rsid w:val="00BA6146"/>
    <w:rsid w:val="00BB531B"/>
    <w:rsid w:val="00BB6921"/>
    <w:rsid w:val="00BF331B"/>
    <w:rsid w:val="00C10A93"/>
    <w:rsid w:val="00C21EBF"/>
    <w:rsid w:val="00C24F16"/>
    <w:rsid w:val="00C439EC"/>
    <w:rsid w:val="00C5307B"/>
    <w:rsid w:val="00C72168"/>
    <w:rsid w:val="00C757F4"/>
    <w:rsid w:val="00C75A9D"/>
    <w:rsid w:val="00CA49B9"/>
    <w:rsid w:val="00CB19DE"/>
    <w:rsid w:val="00CB475B"/>
    <w:rsid w:val="00CC1B47"/>
    <w:rsid w:val="00CC4C03"/>
    <w:rsid w:val="00D060CC"/>
    <w:rsid w:val="00D06EC8"/>
    <w:rsid w:val="00D136EA"/>
    <w:rsid w:val="00D2316E"/>
    <w:rsid w:val="00D251ED"/>
    <w:rsid w:val="00D831E4"/>
    <w:rsid w:val="00D95949"/>
    <w:rsid w:val="00DA23DE"/>
    <w:rsid w:val="00DB29E9"/>
    <w:rsid w:val="00DE34CF"/>
    <w:rsid w:val="00DF1112"/>
    <w:rsid w:val="00E1605D"/>
    <w:rsid w:val="00E32B6B"/>
    <w:rsid w:val="00E5387A"/>
    <w:rsid w:val="00E55E84"/>
    <w:rsid w:val="00E82F71"/>
    <w:rsid w:val="00EB68B0"/>
    <w:rsid w:val="00EC05ED"/>
    <w:rsid w:val="00EE6F87"/>
    <w:rsid w:val="00F4190F"/>
    <w:rsid w:val="00F5077C"/>
    <w:rsid w:val="00FA61ED"/>
    <w:rsid w:val="00FB1739"/>
    <w:rsid w:val="00FC2B9A"/>
    <w:rsid w:val="00FD1AC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4D4F1C9"/>
  <w15:docId w15:val="{FBB18D2C-F471-48D0-A19A-C0B05FF20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tutinj\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