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r w:rsidR="00DC41BD">
        <w:t>– Protection Subgroup</w:t>
      </w:r>
    </w:p>
    <w:p w:rsidR="00E91ED7" w:rsidRPr="00B62597" w:rsidRDefault="00E91ED7" w:rsidP="00E91ED7">
      <w:pPr>
        <w:pStyle w:val="MeetingDetails"/>
      </w:pPr>
      <w:r>
        <w:t>PJM Conference and Training Center</w:t>
      </w:r>
    </w:p>
    <w:p w:rsidR="00E91ED7" w:rsidRPr="00B62597" w:rsidRDefault="00471749" w:rsidP="00E91ED7">
      <w:pPr>
        <w:pStyle w:val="MeetingDetails"/>
      </w:pPr>
      <w:r>
        <w:t>August</w:t>
      </w:r>
      <w:r w:rsidR="00E91ED7">
        <w:t xml:space="preserve"> </w:t>
      </w:r>
      <w:r w:rsidR="00DC41BD">
        <w:t>31</w:t>
      </w:r>
      <w:r w:rsidR="00E91ED7">
        <w:t>, 2016</w:t>
      </w:r>
    </w:p>
    <w:p w:rsidR="00E91ED7" w:rsidRPr="00B62597" w:rsidRDefault="00DC41BD" w:rsidP="00E91ED7">
      <w:pPr>
        <w:pStyle w:val="MeetingDetails"/>
        <w:rPr>
          <w:sz w:val="28"/>
          <w:u w:val="single"/>
        </w:rPr>
      </w:pPr>
      <w:r>
        <w:t>9</w:t>
      </w:r>
      <w:r w:rsidR="00E91ED7">
        <w:t xml:space="preserve">:00 a.m. – </w:t>
      </w:r>
      <w:r>
        <w:t>11:00 a</w:t>
      </w:r>
      <w:r w:rsidR="00E91ED7">
        <w:t xml:space="preserve">.m. </w:t>
      </w:r>
      <w:r w:rsidR="00E91ED7" w:rsidRPr="00D54483">
        <w:t>EST</w:t>
      </w:r>
      <w:r w:rsidR="00E91ED7">
        <w:t xml:space="preserve"> (</w:t>
      </w:r>
      <w:hyperlink r:id="rId8" w:history="1">
        <w:r w:rsidR="00E91ED7" w:rsidRPr="00913164">
          <w:rPr>
            <w:rStyle w:val="Hyperlink"/>
          </w:rPr>
          <w:t>Issue Tracking</w:t>
        </w:r>
      </w:hyperlink>
      <w:r w:rsidR="00E91ED7">
        <w:t>)</w:t>
      </w:r>
    </w:p>
    <w:p w:rsidR="00B62597" w:rsidRPr="00B62597" w:rsidRDefault="00B62597" w:rsidP="00B62597">
      <w:pPr>
        <w:spacing w:after="0" w:line="240" w:lineRule="auto"/>
        <w:rPr>
          <w:rFonts w:ascii="Arial Narrow" w:eastAsia="Times New Roman" w:hAnsi="Arial Narrow" w:cs="Times New Roman"/>
          <w:sz w:val="24"/>
          <w:szCs w:val="20"/>
        </w:rPr>
      </w:pPr>
    </w:p>
    <w:p w:rsidR="00EC11C3" w:rsidRPr="00EC11C3" w:rsidRDefault="002C2F56" w:rsidP="00EC11C3">
      <w:pPr>
        <w:pStyle w:val="PrimaryHeading"/>
      </w:pPr>
      <w:r>
        <w:t xml:space="preserve">Protection Subgroup </w:t>
      </w:r>
      <w:r w:rsidR="00DC41BD">
        <w:t>Conference Call</w:t>
      </w:r>
      <w:r>
        <w:t xml:space="preserve"> </w:t>
      </w:r>
      <w:r w:rsidR="001D3B68">
        <w:t>(</w:t>
      </w:r>
      <w:r w:rsidR="00DC41BD">
        <w:t>9</w:t>
      </w:r>
      <w:r w:rsidR="00E91ED7" w:rsidRPr="00A03D26">
        <w:t>:</w:t>
      </w:r>
      <w:r w:rsidR="00471749">
        <w:t>0</w:t>
      </w:r>
      <w:r w:rsidR="00E91ED7" w:rsidRPr="00A03D26">
        <w:t>0 a.m.</w:t>
      </w:r>
      <w:r w:rsidR="00EE68C4">
        <w:t xml:space="preserve"> - </w:t>
      </w:r>
      <w:r w:rsidR="00DC41BD">
        <w:t>11</w:t>
      </w:r>
      <w:r w:rsidR="00E91ED7" w:rsidRPr="00A03D26">
        <w:t>:</w:t>
      </w:r>
      <w:r w:rsidR="00DC41BD">
        <w:t>0</w:t>
      </w:r>
      <w:r w:rsidR="00E91ED7" w:rsidRPr="00A03D26">
        <w:t xml:space="preserve">0 a.m.)  </w:t>
      </w:r>
    </w:p>
    <w:p w:rsidR="00EC11C3" w:rsidRDefault="00DC41BD" w:rsidP="00EC11C3">
      <w:pPr>
        <w:pStyle w:val="SecondaryHeading-Numbered"/>
        <w:numPr>
          <w:ilvl w:val="0"/>
          <w:numId w:val="0"/>
        </w:numPr>
        <w:ind w:left="360" w:hanging="360"/>
        <w:rPr>
          <w:b w:val="0"/>
          <w:sz w:val="22"/>
        </w:rPr>
      </w:pPr>
      <w:r>
        <w:rPr>
          <w:b w:val="0"/>
          <w:sz w:val="22"/>
        </w:rPr>
        <w:t>Call a</w:t>
      </w:r>
      <w:r w:rsidR="00087978" w:rsidRPr="00087978">
        <w:rPr>
          <w:b w:val="0"/>
          <w:sz w:val="22"/>
        </w:rPr>
        <w:t>ttendance</w:t>
      </w:r>
    </w:p>
    <w:p w:rsidR="00DC41BD" w:rsidRDefault="00DC41BD" w:rsidP="00EC11C3">
      <w:pPr>
        <w:pStyle w:val="SecondaryHeading-Numbered"/>
        <w:numPr>
          <w:ilvl w:val="0"/>
          <w:numId w:val="0"/>
        </w:numPr>
        <w:ind w:left="360" w:hanging="360"/>
        <w:rPr>
          <w:b w:val="0"/>
          <w:sz w:val="22"/>
        </w:rPr>
      </w:pPr>
      <w:r>
        <w:rPr>
          <w:b w:val="0"/>
          <w:sz w:val="22"/>
        </w:rPr>
        <w:t>Continue discussion from 8/17 meeting:</w:t>
      </w:r>
    </w:p>
    <w:p w:rsidR="00DC41BD" w:rsidRDefault="00DC41BD" w:rsidP="00DC41BD">
      <w:pPr>
        <w:pStyle w:val="SecondaryHeading-Numbered"/>
        <w:numPr>
          <w:ilvl w:val="0"/>
          <w:numId w:val="28"/>
        </w:numPr>
        <w:rPr>
          <w:b w:val="0"/>
          <w:sz w:val="22"/>
        </w:rPr>
      </w:pPr>
      <w:r>
        <w:rPr>
          <w:b w:val="0"/>
          <w:sz w:val="22"/>
        </w:rPr>
        <w:t>What is applicable to the interconnection? Refer to PJM Hubertus drawing</w:t>
      </w:r>
    </w:p>
    <w:p w:rsidR="00DC41BD" w:rsidRDefault="00DC41BD" w:rsidP="00DC41BD">
      <w:pPr>
        <w:pStyle w:val="SecondaryHeading-Numbered"/>
        <w:numPr>
          <w:ilvl w:val="0"/>
          <w:numId w:val="28"/>
        </w:numPr>
        <w:rPr>
          <w:b w:val="0"/>
          <w:sz w:val="22"/>
        </w:rPr>
      </w:pPr>
      <w:r>
        <w:rPr>
          <w:b w:val="0"/>
          <w:sz w:val="22"/>
        </w:rPr>
        <w:t>Primary and backup relays in separate panels?</w:t>
      </w:r>
    </w:p>
    <w:p w:rsidR="00DC41BD" w:rsidRDefault="00DC41BD" w:rsidP="00DC41BD">
      <w:pPr>
        <w:pStyle w:val="SecondaryHeading-Numbered"/>
        <w:numPr>
          <w:ilvl w:val="0"/>
          <w:numId w:val="28"/>
        </w:numPr>
        <w:rPr>
          <w:b w:val="0"/>
          <w:sz w:val="22"/>
        </w:rPr>
      </w:pPr>
      <w:r>
        <w:rPr>
          <w:b w:val="0"/>
          <w:sz w:val="22"/>
        </w:rPr>
        <w:t>Breaker failure relaying</w:t>
      </w:r>
    </w:p>
    <w:p w:rsidR="00DC41BD" w:rsidRDefault="00DC41BD" w:rsidP="00DC41BD">
      <w:pPr>
        <w:pStyle w:val="SecondaryHeading-Numbered"/>
        <w:numPr>
          <w:ilvl w:val="0"/>
          <w:numId w:val="28"/>
        </w:numPr>
        <w:rPr>
          <w:b w:val="0"/>
          <w:sz w:val="22"/>
        </w:rPr>
      </w:pPr>
      <w:r>
        <w:rPr>
          <w:b w:val="0"/>
          <w:sz w:val="22"/>
        </w:rPr>
        <w:t>Include to standards in DEDSTF document appendix?</w:t>
      </w:r>
    </w:p>
    <w:p w:rsidR="00DC41BD" w:rsidRDefault="00DC41BD" w:rsidP="00DC41BD">
      <w:pPr>
        <w:pStyle w:val="SecondaryHeading-Numbered"/>
        <w:numPr>
          <w:ilvl w:val="0"/>
          <w:numId w:val="28"/>
        </w:numPr>
        <w:rPr>
          <w:b w:val="0"/>
          <w:sz w:val="22"/>
        </w:rPr>
      </w:pPr>
      <w:r>
        <w:rPr>
          <w:b w:val="0"/>
          <w:sz w:val="22"/>
        </w:rPr>
        <w:t>Review of approved FERC 1000 projects by PJM RS?</w:t>
      </w:r>
    </w:p>
    <w:p w:rsidR="00DC41BD" w:rsidRDefault="00DC41BD" w:rsidP="00DC41BD">
      <w:pPr>
        <w:pStyle w:val="SecondaryHeading-Numbered"/>
        <w:numPr>
          <w:ilvl w:val="0"/>
          <w:numId w:val="0"/>
        </w:numPr>
        <w:ind w:left="360" w:hanging="360"/>
        <w:rPr>
          <w:b w:val="0"/>
          <w:sz w:val="22"/>
        </w:rPr>
      </w:pPr>
      <w:r>
        <w:rPr>
          <w:b w:val="0"/>
          <w:sz w:val="22"/>
        </w:rPr>
        <w:t>Recap</w:t>
      </w:r>
    </w:p>
    <w:p w:rsidR="00DC41BD" w:rsidRDefault="00DC41BD" w:rsidP="00DC41BD">
      <w:pPr>
        <w:pStyle w:val="SecondaryHeading-Numbered"/>
        <w:numPr>
          <w:ilvl w:val="0"/>
          <w:numId w:val="0"/>
        </w:numPr>
        <w:ind w:left="360" w:hanging="360"/>
        <w:rPr>
          <w:b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September 12,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October 25,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3967">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06032A"/>
    <w:multiLevelType w:val="hybridMultilevel"/>
    <w:tmpl w:val="6CD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447E10"/>
    <w:multiLevelType w:val="hybridMultilevel"/>
    <w:tmpl w:val="9BBE48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811A3"/>
    <w:multiLevelType w:val="hybridMultilevel"/>
    <w:tmpl w:val="BF84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3"/>
  </w:num>
  <w:num w:numId="10">
    <w:abstractNumId w:val="1"/>
  </w:num>
  <w:num w:numId="11">
    <w:abstractNumId w:val="4"/>
  </w:num>
  <w:num w:numId="12">
    <w:abstractNumId w:val="2"/>
  </w:num>
  <w:num w:numId="13">
    <w:abstractNumId w:val="8"/>
  </w:num>
  <w:num w:numId="14">
    <w:abstractNumId w:val="4"/>
  </w:num>
  <w:num w:numId="15">
    <w:abstractNumId w:val="4"/>
  </w:num>
  <w:num w:numId="16">
    <w:abstractNumId w:val="4"/>
  </w:num>
  <w:num w:numId="17">
    <w:abstractNumId w:val="11"/>
  </w:num>
  <w:num w:numId="18">
    <w:abstractNumId w:val="4"/>
  </w:num>
  <w:num w:numId="19">
    <w:abstractNumId w:val="5"/>
  </w:num>
  <w:num w:numId="20">
    <w:abstractNumId w:val="4"/>
  </w:num>
  <w:num w:numId="21">
    <w:abstractNumId w:val="0"/>
  </w:num>
  <w:num w:numId="22">
    <w:abstractNumId w:val="4"/>
  </w:num>
  <w:num w:numId="23">
    <w:abstractNumId w:val="4"/>
  </w:num>
  <w:num w:numId="24">
    <w:abstractNumId w:val="7"/>
  </w:num>
  <w:num w:numId="25">
    <w:abstractNumId w:val="4"/>
  </w:num>
  <w:num w:numId="26">
    <w:abstractNumId w:val="4"/>
  </w:num>
  <w:num w:numId="27">
    <w:abstractNumId w:val="12"/>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7978"/>
    <w:rsid w:val="000A42AD"/>
    <w:rsid w:val="00141A12"/>
    <w:rsid w:val="001B2242"/>
    <w:rsid w:val="001C0CC0"/>
    <w:rsid w:val="001D3B68"/>
    <w:rsid w:val="001E373A"/>
    <w:rsid w:val="002113BD"/>
    <w:rsid w:val="0026642F"/>
    <w:rsid w:val="002B2F98"/>
    <w:rsid w:val="002C2F56"/>
    <w:rsid w:val="00305238"/>
    <w:rsid w:val="00337321"/>
    <w:rsid w:val="003430EF"/>
    <w:rsid w:val="003A7CFE"/>
    <w:rsid w:val="003B55E1"/>
    <w:rsid w:val="003C6451"/>
    <w:rsid w:val="003D7E5C"/>
    <w:rsid w:val="003E7A73"/>
    <w:rsid w:val="00410151"/>
    <w:rsid w:val="00471749"/>
    <w:rsid w:val="00491490"/>
    <w:rsid w:val="004969FA"/>
    <w:rsid w:val="00556D1B"/>
    <w:rsid w:val="00564DEE"/>
    <w:rsid w:val="0057441E"/>
    <w:rsid w:val="005764E3"/>
    <w:rsid w:val="005D6D05"/>
    <w:rsid w:val="00602967"/>
    <w:rsid w:val="00606F11"/>
    <w:rsid w:val="00676FA7"/>
    <w:rsid w:val="007004BD"/>
    <w:rsid w:val="00712CAA"/>
    <w:rsid w:val="00716A8B"/>
    <w:rsid w:val="00724851"/>
    <w:rsid w:val="00754C6D"/>
    <w:rsid w:val="00755096"/>
    <w:rsid w:val="00771330"/>
    <w:rsid w:val="007A34A3"/>
    <w:rsid w:val="007E7CAB"/>
    <w:rsid w:val="00837B12"/>
    <w:rsid w:val="00841282"/>
    <w:rsid w:val="00863967"/>
    <w:rsid w:val="00882652"/>
    <w:rsid w:val="00907819"/>
    <w:rsid w:val="00917386"/>
    <w:rsid w:val="009A5430"/>
    <w:rsid w:val="009C15C4"/>
    <w:rsid w:val="00A03D3A"/>
    <w:rsid w:val="00A05391"/>
    <w:rsid w:val="00A317A9"/>
    <w:rsid w:val="00A40148"/>
    <w:rsid w:val="00A615FD"/>
    <w:rsid w:val="00B16D95"/>
    <w:rsid w:val="00B20316"/>
    <w:rsid w:val="00B34E3C"/>
    <w:rsid w:val="00B50BE3"/>
    <w:rsid w:val="00B62597"/>
    <w:rsid w:val="00BA6146"/>
    <w:rsid w:val="00BB531B"/>
    <w:rsid w:val="00BF331B"/>
    <w:rsid w:val="00C439EC"/>
    <w:rsid w:val="00C53E05"/>
    <w:rsid w:val="00C72168"/>
    <w:rsid w:val="00C800A5"/>
    <w:rsid w:val="00CA49B9"/>
    <w:rsid w:val="00CC1B47"/>
    <w:rsid w:val="00CF4F40"/>
    <w:rsid w:val="00D136EA"/>
    <w:rsid w:val="00D251ED"/>
    <w:rsid w:val="00D95949"/>
    <w:rsid w:val="00DB29E9"/>
    <w:rsid w:val="00DC41BD"/>
    <w:rsid w:val="00DE34CF"/>
    <w:rsid w:val="00E91ED7"/>
    <w:rsid w:val="00EB68B0"/>
    <w:rsid w:val="00EC11C3"/>
    <w:rsid w:val="00EE68C4"/>
    <w:rsid w:val="00F4190F"/>
    <w:rsid w:val="00F8626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98377882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2016-08-30T20:17:00Z</dcterms:created>
  <dcterms:modified xsi:type="dcterms:W3CDTF">2016-08-30T20:17:00Z</dcterms:modified>
</cp:coreProperties>
</file>