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2257CE" w:rsidP="00755096">
      <w:pPr>
        <w:pStyle w:val="MeetingDetails"/>
      </w:pPr>
      <w:r>
        <w:t>February</w:t>
      </w:r>
      <w:r w:rsidR="00010057">
        <w:t xml:space="preserve"> </w:t>
      </w:r>
      <w:r w:rsidR="00CD65AE">
        <w:t>2</w:t>
      </w:r>
      <w:r>
        <w:t>2</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A05CF8">
        <w:t>1</w:t>
      </w:r>
      <w:r w:rsidR="002257CE">
        <w:t>1</w:t>
      </w:r>
      <w:r w:rsidR="00941038">
        <w:t>:</w:t>
      </w:r>
      <w:r w:rsidR="00262A37">
        <w:t>45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2257CE">
        <w:t>01</w:t>
      </w:r>
      <w:r w:rsidRPr="007424AC">
        <w:t>/</w:t>
      </w:r>
      <w:r w:rsidR="002257CE">
        <w:t>27</w:t>
      </w:r>
      <w:r w:rsidRPr="007424AC">
        <w:t>/201</w:t>
      </w:r>
      <w:r w:rsidR="002257CE">
        <w:t>7</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w:t>
      </w:r>
      <w:r w:rsidR="00324E26">
        <w:t xml:space="preserve"> </w:t>
      </w:r>
      <w:r w:rsidRPr="007424AC">
        <w:t xml:space="preserve">– </w:t>
      </w:r>
      <w:r w:rsidR="00324E26">
        <w:t>MIC</w:t>
      </w:r>
      <w:r w:rsidR="00B24036">
        <w:t xml:space="preserve">, </w:t>
      </w:r>
      <w:r w:rsidRPr="007424AC">
        <w:t>OC</w:t>
      </w:r>
      <w:r w:rsidR="0047639D">
        <w:t>, PC</w:t>
      </w:r>
      <w:r w:rsidR="00B24036">
        <w:t xml:space="preserve">, </w:t>
      </w:r>
      <w:r w:rsidRPr="007424AC">
        <w:t>or other</w:t>
      </w:r>
    </w:p>
    <w:p w:rsidR="006C0802" w:rsidRDefault="002257CE" w:rsidP="006C0802">
      <w:pPr>
        <w:pStyle w:val="PrimaryHeading"/>
      </w:pPr>
      <w:r>
        <w:t>Residential M&amp;V Review</w:t>
      </w:r>
      <w:r w:rsidR="006C0802" w:rsidRPr="006C0802">
        <w:t xml:space="preserve"> (</w:t>
      </w:r>
      <w:r w:rsidR="00A05CF8">
        <w:t>9</w:t>
      </w:r>
      <w:r w:rsidR="006C0802" w:rsidRPr="006C0802">
        <w:t>:</w:t>
      </w:r>
      <w:r w:rsidR="00A05CF8">
        <w:t>45</w:t>
      </w:r>
      <w:r w:rsidR="006C0802" w:rsidRPr="006C0802">
        <w:t>-</w:t>
      </w:r>
      <w:r w:rsidR="006C0802">
        <w:t>10</w:t>
      </w:r>
      <w:r w:rsidR="006C0802" w:rsidRPr="006C0802">
        <w:t>:</w:t>
      </w:r>
      <w:r w:rsidR="00861F2D">
        <w:t>0</w:t>
      </w:r>
      <w:r w:rsidR="00A05CF8">
        <w:t>0</w:t>
      </w:r>
      <w:r w:rsidR="006C0802" w:rsidRPr="006C0802">
        <w:t>)</w:t>
      </w:r>
    </w:p>
    <w:p w:rsidR="006C0802" w:rsidRPr="006C0802" w:rsidRDefault="006C0802" w:rsidP="006C0802">
      <w:pPr>
        <w:pStyle w:val="SecondaryNumberedHeading"/>
      </w:pPr>
      <w:r w:rsidRPr="006C0802">
        <w:t xml:space="preserve">Mr. </w:t>
      </w:r>
      <w:r w:rsidR="002257CE">
        <w:t>James McAnany</w:t>
      </w:r>
      <w:r w:rsidR="002245E4">
        <w:t xml:space="preserve">, PJM, will </w:t>
      </w:r>
      <w:r w:rsidR="00F428BC">
        <w:t xml:space="preserve">provide a brief </w:t>
      </w:r>
      <w:r w:rsidR="002257CE">
        <w:t>review the current rules for residential M&amp;V</w:t>
      </w:r>
      <w:r w:rsidR="00EF251C">
        <w:t>.</w:t>
      </w:r>
      <w:r w:rsidR="00F428BC">
        <w:t xml:space="preserve"> The current rules went into effect in the 16/17 Delivery Year and require a sample of interval meters to measure performance. </w:t>
      </w:r>
    </w:p>
    <w:p w:rsidR="001D3B68" w:rsidRPr="00DB29E9" w:rsidRDefault="00027A27" w:rsidP="001D3B68">
      <w:pPr>
        <w:pStyle w:val="PrimaryHeading"/>
      </w:pPr>
      <w:r>
        <w:t xml:space="preserve">DR Load Management </w:t>
      </w:r>
      <w:r w:rsidR="0096410A">
        <w:t xml:space="preserve">Open Registration </w:t>
      </w:r>
      <w:r w:rsidR="001D3B68">
        <w:t>(</w:t>
      </w:r>
      <w:r w:rsidR="006C0802">
        <w:t>10</w:t>
      </w:r>
      <w:r w:rsidR="001D3B68">
        <w:t>:</w:t>
      </w:r>
      <w:r w:rsidR="002257CE">
        <w:t>00</w:t>
      </w:r>
      <w:r w:rsidR="001D3B68">
        <w:t>-</w:t>
      </w:r>
      <w:r w:rsidR="0096485B">
        <w:t>1</w:t>
      </w:r>
      <w:r w:rsidR="005C5824">
        <w:t>0</w:t>
      </w:r>
      <w:r w:rsidR="001D3B68">
        <w:t>:</w:t>
      </w:r>
      <w:r w:rsidR="00142FF3">
        <w:t>30</w:t>
      </w:r>
      <w:r w:rsidR="001D3B68">
        <w:t>)</w:t>
      </w:r>
    </w:p>
    <w:p w:rsidR="0008573F" w:rsidRDefault="00381D78" w:rsidP="0008573F">
      <w:pPr>
        <w:pStyle w:val="SecondaryNumberedHeading"/>
      </w:pPr>
      <w:r>
        <w:t xml:space="preserve">Mr. </w:t>
      </w:r>
      <w:r w:rsidR="009B5A54">
        <w:t>Pete Langbein</w:t>
      </w:r>
      <w:r w:rsidR="002408B3">
        <w:t xml:space="preserve">, PJM, will </w:t>
      </w:r>
      <w:r w:rsidR="009B5A54">
        <w:t>lead discussion on</w:t>
      </w:r>
      <w:r w:rsidR="00CC6AE3">
        <w:t xml:space="preserve"> matrix solution packages</w:t>
      </w:r>
      <w:r w:rsidR="00444076">
        <w:t>.</w:t>
      </w:r>
      <w:r w:rsidR="00924F6B">
        <w:t xml:space="preserve"> There will be a survey of the DRS </w:t>
      </w:r>
      <w:r w:rsidR="00CC6AE3">
        <w:t>to determine support for the different packages.</w:t>
      </w:r>
    </w:p>
    <w:p w:rsidR="00142FF3" w:rsidRPr="00DB29E9" w:rsidRDefault="00086256" w:rsidP="00142FF3">
      <w:pPr>
        <w:pStyle w:val="PrimaryHeading"/>
      </w:pPr>
      <w:r>
        <w:t>DR 5 minute settlements</w:t>
      </w:r>
      <w:r w:rsidR="00142FF3">
        <w:t xml:space="preserve"> (10:30-10:45)</w:t>
      </w:r>
    </w:p>
    <w:p w:rsidR="00142FF3" w:rsidRDefault="00142FF3" w:rsidP="00142FF3">
      <w:pPr>
        <w:pStyle w:val="SecondaryNumberedHeading"/>
      </w:pPr>
      <w:r>
        <w:t>Mr. Ed Rich, PJM, will provide an update on implementation plan for DR 5 minute settlements.</w:t>
      </w:r>
    </w:p>
    <w:p w:rsidR="002257CE" w:rsidRDefault="002257CE" w:rsidP="002257CE">
      <w:pPr>
        <w:pStyle w:val="PrimaryHeading"/>
      </w:pPr>
      <w:r>
        <w:t>DR Activity Report (10:45-10:5</w:t>
      </w:r>
      <w:r w:rsidR="00142FF3">
        <w:t>5</w:t>
      </w:r>
      <w:r>
        <w:t>)</w:t>
      </w:r>
    </w:p>
    <w:p w:rsidR="002257CE" w:rsidRPr="006C0802" w:rsidRDefault="002257CE" w:rsidP="002257CE">
      <w:pPr>
        <w:pStyle w:val="SecondaryNumberedHeading"/>
      </w:pPr>
      <w:r w:rsidRPr="006C0802">
        <w:t xml:space="preserve">Mr. </w:t>
      </w:r>
      <w:r>
        <w:t>James McAnany, PJM, will review the Monthy DR Activity Report.</w:t>
      </w:r>
    </w:p>
    <w:p w:rsidR="00BC77BA" w:rsidRDefault="00BC77BA" w:rsidP="00BC77BA">
      <w:pPr>
        <w:pStyle w:val="PrimaryHeading"/>
      </w:pPr>
      <w:r>
        <w:t>Break</w:t>
      </w:r>
      <w:r w:rsidRPr="0096485B">
        <w:t xml:space="preserve"> </w:t>
      </w:r>
      <w:r>
        <w:t>(1</w:t>
      </w:r>
      <w:r w:rsidR="005C5824">
        <w:t>0</w:t>
      </w:r>
      <w:r>
        <w:t>:</w:t>
      </w:r>
      <w:r w:rsidR="005C5824">
        <w:t>5</w:t>
      </w:r>
      <w:r w:rsidR="00142FF3">
        <w:t>5</w:t>
      </w:r>
      <w:r>
        <w:t>-11:</w:t>
      </w:r>
      <w:r w:rsidR="005C5824">
        <w:t>0</w:t>
      </w:r>
      <w:r w:rsidR="00142FF3">
        <w:t>5</w:t>
      </w:r>
      <w:r w:rsidRPr="00DB29E9">
        <w:t>)</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11</w:t>
      </w:r>
      <w:r>
        <w:t>:</w:t>
      </w:r>
      <w:r w:rsidR="005C5824">
        <w:t>0</w:t>
      </w:r>
      <w:r w:rsidR="00142FF3">
        <w:t>5</w:t>
      </w:r>
      <w:r w:rsidR="006C0802">
        <w:t>-</w:t>
      </w:r>
      <w:r w:rsidR="00A05CF8">
        <w:t>11</w:t>
      </w:r>
      <w:r>
        <w:t>:</w:t>
      </w:r>
      <w:r w:rsidR="00142FF3">
        <w:t>45</w:t>
      </w:r>
      <w:r w:rsidRPr="00DB29E9">
        <w:t>)</w:t>
      </w:r>
    </w:p>
    <w:p w:rsidR="0096485B" w:rsidRPr="0096485B" w:rsidRDefault="0096485B" w:rsidP="0096485B">
      <w:pPr>
        <w:pStyle w:val="SecondaryNumberedHeading"/>
      </w:pPr>
      <w:r>
        <w:t xml:space="preserve">Ms. Andrea Yeaton, PJM, </w:t>
      </w:r>
      <w:r w:rsidR="001833A1">
        <w:t>will provide an update on DR Hub (eLRS replacement).</w:t>
      </w:r>
      <w:r w:rsidR="00142FF3">
        <w:t xml:space="preserve"> eLRS will be replaced by DR Hub on 4.2.17. All members involved with DR activity should be prepared for the replacement of eLRS with the new tool (DR Hub) on 4/2.</w:t>
      </w:r>
      <w:r w:rsidR="00BC77BA">
        <w:t xml:space="preserve">  </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lastRenderedPageBreak/>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3/15/2017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4/7/2017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5/16/2017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6/14/2017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F0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07E0">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F07E0">
    <w:pPr>
      <w:rPr>
        <w:sz w:val="16"/>
      </w:rPr>
    </w:pPr>
  </w:p>
  <w:p w:rsidR="003C17E2" w:rsidRDefault="006F07E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573F"/>
    <w:rsid w:val="00086256"/>
    <w:rsid w:val="00087182"/>
    <w:rsid w:val="000A2662"/>
    <w:rsid w:val="000A6B9A"/>
    <w:rsid w:val="000B2221"/>
    <w:rsid w:val="000E4BD3"/>
    <w:rsid w:val="0010026E"/>
    <w:rsid w:val="00142E98"/>
    <w:rsid w:val="00142FF3"/>
    <w:rsid w:val="001833A1"/>
    <w:rsid w:val="00186C11"/>
    <w:rsid w:val="001B2242"/>
    <w:rsid w:val="001C0CC0"/>
    <w:rsid w:val="001D3B68"/>
    <w:rsid w:val="002113BD"/>
    <w:rsid w:val="0022295B"/>
    <w:rsid w:val="002245E4"/>
    <w:rsid w:val="002257CE"/>
    <w:rsid w:val="002408B3"/>
    <w:rsid w:val="00262A37"/>
    <w:rsid w:val="00283B1C"/>
    <w:rsid w:val="002B2F98"/>
    <w:rsid w:val="00305238"/>
    <w:rsid w:val="00324E26"/>
    <w:rsid w:val="00336D91"/>
    <w:rsid w:val="00337321"/>
    <w:rsid w:val="00381D78"/>
    <w:rsid w:val="003A4BAC"/>
    <w:rsid w:val="003B55E1"/>
    <w:rsid w:val="003D04ED"/>
    <w:rsid w:val="003D7E5C"/>
    <w:rsid w:val="003E44A0"/>
    <w:rsid w:val="003E7A73"/>
    <w:rsid w:val="00424D6D"/>
    <w:rsid w:val="00444076"/>
    <w:rsid w:val="0047639D"/>
    <w:rsid w:val="00491490"/>
    <w:rsid w:val="004969FA"/>
    <w:rsid w:val="004A6730"/>
    <w:rsid w:val="004C02DD"/>
    <w:rsid w:val="004C1CA3"/>
    <w:rsid w:val="004E55C6"/>
    <w:rsid w:val="00500172"/>
    <w:rsid w:val="005616B5"/>
    <w:rsid w:val="00564DEE"/>
    <w:rsid w:val="0057441E"/>
    <w:rsid w:val="00584E8D"/>
    <w:rsid w:val="005A1039"/>
    <w:rsid w:val="005C2B5B"/>
    <w:rsid w:val="005C5824"/>
    <w:rsid w:val="005D6D05"/>
    <w:rsid w:val="00602967"/>
    <w:rsid w:val="00606F11"/>
    <w:rsid w:val="00661BC5"/>
    <w:rsid w:val="006A5946"/>
    <w:rsid w:val="006C0802"/>
    <w:rsid w:val="006E1252"/>
    <w:rsid w:val="006F07E0"/>
    <w:rsid w:val="00712CAA"/>
    <w:rsid w:val="00716A8B"/>
    <w:rsid w:val="00724235"/>
    <w:rsid w:val="00741ED6"/>
    <w:rsid w:val="00754C6D"/>
    <w:rsid w:val="00755096"/>
    <w:rsid w:val="00773CFC"/>
    <w:rsid w:val="00791ACB"/>
    <w:rsid w:val="0079242F"/>
    <w:rsid w:val="007A16AC"/>
    <w:rsid w:val="007A34A3"/>
    <w:rsid w:val="007B29D4"/>
    <w:rsid w:val="007D503E"/>
    <w:rsid w:val="007E5A1F"/>
    <w:rsid w:val="007E7CAB"/>
    <w:rsid w:val="0081258F"/>
    <w:rsid w:val="00837B12"/>
    <w:rsid w:val="00841282"/>
    <w:rsid w:val="008419B7"/>
    <w:rsid w:val="0085164B"/>
    <w:rsid w:val="00856E37"/>
    <w:rsid w:val="00861F2D"/>
    <w:rsid w:val="00881035"/>
    <w:rsid w:val="00882652"/>
    <w:rsid w:val="00917386"/>
    <w:rsid w:val="00924F6B"/>
    <w:rsid w:val="009372C1"/>
    <w:rsid w:val="00941038"/>
    <w:rsid w:val="0096410A"/>
    <w:rsid w:val="0096485B"/>
    <w:rsid w:val="00990186"/>
    <w:rsid w:val="009A5430"/>
    <w:rsid w:val="009B5A54"/>
    <w:rsid w:val="009C15C4"/>
    <w:rsid w:val="009D49E0"/>
    <w:rsid w:val="00A05391"/>
    <w:rsid w:val="00A05CF8"/>
    <w:rsid w:val="00A308C0"/>
    <w:rsid w:val="00A317A9"/>
    <w:rsid w:val="00A34B5F"/>
    <w:rsid w:val="00A46C83"/>
    <w:rsid w:val="00A66B19"/>
    <w:rsid w:val="00A91622"/>
    <w:rsid w:val="00A94841"/>
    <w:rsid w:val="00B16D95"/>
    <w:rsid w:val="00B20316"/>
    <w:rsid w:val="00B24036"/>
    <w:rsid w:val="00B34E3C"/>
    <w:rsid w:val="00B62597"/>
    <w:rsid w:val="00B9286B"/>
    <w:rsid w:val="00BA6146"/>
    <w:rsid w:val="00BB531B"/>
    <w:rsid w:val="00BC77BA"/>
    <w:rsid w:val="00BF331B"/>
    <w:rsid w:val="00C365D7"/>
    <w:rsid w:val="00C36810"/>
    <w:rsid w:val="00C439EC"/>
    <w:rsid w:val="00C72168"/>
    <w:rsid w:val="00CA49B9"/>
    <w:rsid w:val="00CC1B47"/>
    <w:rsid w:val="00CC6AE3"/>
    <w:rsid w:val="00CD65AE"/>
    <w:rsid w:val="00CF6D78"/>
    <w:rsid w:val="00D136EA"/>
    <w:rsid w:val="00D251ED"/>
    <w:rsid w:val="00D95949"/>
    <w:rsid w:val="00DB29E9"/>
    <w:rsid w:val="00DE34CF"/>
    <w:rsid w:val="00E8126B"/>
    <w:rsid w:val="00E9088A"/>
    <w:rsid w:val="00EB68B0"/>
    <w:rsid w:val="00EF251C"/>
    <w:rsid w:val="00F4190F"/>
    <w:rsid w:val="00F428BC"/>
    <w:rsid w:val="00F56207"/>
    <w:rsid w:val="00F6109A"/>
    <w:rsid w:val="00F720E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5729-D040-48FD-801E-4A8BD194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2017-02-17T20:44:00Z</dcterms:created>
  <dcterms:modified xsi:type="dcterms:W3CDTF">2017-02-17T20:44:00Z</dcterms:modified>
</cp:coreProperties>
</file>