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4B38CD" w:rsidP="00BC2A6C">
      <w:pPr>
        <w:pStyle w:val="MeetingDetails"/>
      </w:pPr>
      <w:r>
        <w:t xml:space="preserve">February </w:t>
      </w:r>
      <w:r w:rsidR="002D7096">
        <w:t>19</w:t>
      </w:r>
      <w:r w:rsidR="00624A91">
        <w:t>, 2020</w:t>
      </w:r>
    </w:p>
    <w:p w:rsidR="00BC2A6C" w:rsidRPr="00B62597" w:rsidRDefault="002D7096" w:rsidP="00BC2A6C">
      <w:pPr>
        <w:pStyle w:val="MeetingDetails"/>
        <w:rPr>
          <w:sz w:val="28"/>
          <w:u w:val="single"/>
        </w:rPr>
      </w:pPr>
      <w:r>
        <w:t>1</w:t>
      </w:r>
      <w:r w:rsidR="00BC2A6C">
        <w:t xml:space="preserve">:00 </w:t>
      </w:r>
      <w:r>
        <w:t>p</w:t>
      </w:r>
      <w:r w:rsidR="00BC2A6C">
        <w:t xml:space="preserve">m – </w:t>
      </w:r>
      <w:r>
        <w:t>4:00</w:t>
      </w:r>
      <w:r w:rsidR="00BC2A6C">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D7096">
        <w:t>1</w:t>
      </w:r>
      <w:r w:rsidRPr="00527104">
        <w:t>:00</w:t>
      </w:r>
      <w:r w:rsidR="00BC2A6C">
        <w:t xml:space="preserve"> </w:t>
      </w:r>
      <w:r w:rsidRPr="00527104">
        <w:t>-</w:t>
      </w:r>
      <w:r w:rsidR="00BC2A6C">
        <w:t xml:space="preserve"> </w:t>
      </w:r>
      <w:r w:rsidR="002D7096">
        <w:t>1</w:t>
      </w:r>
      <w:r w:rsidRPr="00527104">
        <w:t>:</w:t>
      </w:r>
      <w:r w:rsidR="00BC2A6C">
        <w:t>15</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sidR="004B38CD">
        <w:rPr>
          <w:sz w:val="24"/>
          <w:szCs w:val="24"/>
        </w:rPr>
        <w:t>0</w:t>
      </w:r>
      <w:r w:rsidR="0046415F">
        <w:rPr>
          <w:sz w:val="24"/>
          <w:szCs w:val="24"/>
        </w:rPr>
        <w:t>2</w:t>
      </w:r>
      <w:r w:rsidR="004B38CD">
        <w:rPr>
          <w:sz w:val="24"/>
          <w:szCs w:val="24"/>
        </w:rPr>
        <w:t>/0</w:t>
      </w:r>
      <w:r w:rsidR="0046415F">
        <w:rPr>
          <w:sz w:val="24"/>
          <w:szCs w:val="24"/>
        </w:rPr>
        <w:t>3</w:t>
      </w:r>
      <w:r w:rsidR="004B38CD">
        <w:rPr>
          <w:sz w:val="24"/>
          <w:szCs w:val="24"/>
        </w:rPr>
        <w:t>/2020</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1D3B68" w:rsidRPr="00DB29E9" w:rsidRDefault="001D3B68" w:rsidP="007C2954">
      <w:pPr>
        <w:pStyle w:val="PrimaryHeading"/>
      </w:pPr>
      <w:bookmarkStart w:id="2" w:name="_GoBack"/>
      <w:bookmarkEnd w:id="2"/>
      <w:r>
        <w:t>(</w:t>
      </w:r>
      <w:r w:rsidR="002D7096">
        <w:t>1</w:t>
      </w:r>
      <w:r w:rsidR="00BC2A6C">
        <w:t xml:space="preserve">:15 </w:t>
      </w:r>
      <w:r w:rsidR="00D50E30">
        <w:t>–</w:t>
      </w:r>
      <w:r w:rsidR="00F0078F">
        <w:t>3</w:t>
      </w:r>
      <w:r w:rsidR="00616CE5">
        <w:t>:</w:t>
      </w:r>
      <w:r w:rsidR="00F0078F">
        <w:t>3</w:t>
      </w:r>
      <w:r w:rsidR="007C30B4">
        <w:t>0</w:t>
      </w:r>
      <w:r>
        <w:t>)</w:t>
      </w:r>
      <w:r w:rsidR="00D50E30">
        <w:t xml:space="preserve"> </w:t>
      </w:r>
      <w:r w:rsidR="000E7467">
        <w:t>I</w:t>
      </w:r>
      <w:r w:rsidR="00616CE5">
        <w:t>mpact of MOPR order on DR</w:t>
      </w:r>
    </w:p>
    <w:p w:rsidR="00134215" w:rsidRDefault="007C30B4" w:rsidP="001D2B3A">
      <w:pPr>
        <w:pStyle w:val="ListSubhead1"/>
        <w:numPr>
          <w:ilvl w:val="0"/>
          <w:numId w:val="18"/>
        </w:numPr>
        <w:rPr>
          <w:b w:val="0"/>
        </w:rPr>
      </w:pPr>
      <w:r>
        <w:rPr>
          <w:b w:val="0"/>
        </w:rPr>
        <w:t xml:space="preserve">The MIC Special Sessions will discuss </w:t>
      </w:r>
      <w:r w:rsidR="00362593">
        <w:rPr>
          <w:b w:val="0"/>
        </w:rPr>
        <w:t xml:space="preserve">the </w:t>
      </w:r>
      <w:r>
        <w:rPr>
          <w:b w:val="0"/>
        </w:rPr>
        <w:t>overall MOPR order</w:t>
      </w:r>
      <w:r w:rsidR="00362593">
        <w:rPr>
          <w:b w:val="0"/>
        </w:rPr>
        <w:t>. T</w:t>
      </w:r>
      <w:r>
        <w:rPr>
          <w:b w:val="0"/>
        </w:rPr>
        <w:t>he more detailed DR/EE specific issues will be discussed at the DRS to allow more time for discussion before the compliance filing is due. P</w:t>
      </w:r>
      <w:r w:rsidR="003F7F6F" w:rsidRPr="001D2B3A">
        <w:rPr>
          <w:b w:val="0"/>
        </w:rPr>
        <w:t xml:space="preserve">ete Langbein will </w:t>
      </w:r>
      <w:r w:rsidR="00A97A11">
        <w:rPr>
          <w:b w:val="0"/>
        </w:rPr>
        <w:t>facilitate</w:t>
      </w:r>
      <w:r w:rsidR="003F7F6F" w:rsidRPr="001D2B3A">
        <w:rPr>
          <w:b w:val="0"/>
        </w:rPr>
        <w:t xml:space="preserve"> a discussion on the </w:t>
      </w:r>
      <w:r w:rsidR="009362A6" w:rsidRPr="001D2B3A">
        <w:rPr>
          <w:b w:val="0"/>
        </w:rPr>
        <w:t xml:space="preserve">potential </w:t>
      </w:r>
      <w:r w:rsidR="003F7F6F" w:rsidRPr="001D2B3A">
        <w:rPr>
          <w:b w:val="0"/>
        </w:rPr>
        <w:t>impact of the recent MOPR order</w:t>
      </w:r>
      <w:r w:rsidR="009362A6" w:rsidRPr="001D2B3A">
        <w:rPr>
          <w:b w:val="0"/>
        </w:rPr>
        <w:t xml:space="preserve"> on DR</w:t>
      </w:r>
      <w:r w:rsidR="00392FF4" w:rsidRPr="001D2B3A">
        <w:rPr>
          <w:b w:val="0"/>
        </w:rPr>
        <w:t>.</w:t>
      </w:r>
      <w:r w:rsidR="009362A6" w:rsidRPr="001D2B3A">
        <w:rPr>
          <w:b w:val="0"/>
        </w:rPr>
        <w:t xml:space="preserve"> Th</w:t>
      </w:r>
      <w:r w:rsidR="00F16CCD" w:rsidRPr="001D2B3A">
        <w:rPr>
          <w:b w:val="0"/>
        </w:rPr>
        <w:t>is will be a work</w:t>
      </w:r>
      <w:r>
        <w:rPr>
          <w:b w:val="0"/>
        </w:rPr>
        <w:t>ing</w:t>
      </w:r>
      <w:r w:rsidR="00F16CCD" w:rsidRPr="001D2B3A">
        <w:rPr>
          <w:b w:val="0"/>
        </w:rPr>
        <w:t xml:space="preserve"> session to collaborate </w:t>
      </w:r>
      <w:r w:rsidR="009362A6" w:rsidRPr="001D2B3A">
        <w:rPr>
          <w:b w:val="0"/>
        </w:rPr>
        <w:t xml:space="preserve">on how to implement the provisions provided in the order. </w:t>
      </w:r>
    </w:p>
    <w:p w:rsidR="001D2B3A" w:rsidRPr="001D2B3A" w:rsidRDefault="00B17599" w:rsidP="001D2B3A">
      <w:pPr>
        <w:pStyle w:val="ListSubhead1"/>
        <w:numPr>
          <w:ilvl w:val="1"/>
          <w:numId w:val="18"/>
        </w:numPr>
        <w:rPr>
          <w:b w:val="0"/>
        </w:rPr>
      </w:pPr>
      <w:r>
        <w:rPr>
          <w:b w:val="0"/>
        </w:rPr>
        <w:t>N</w:t>
      </w:r>
      <w:r w:rsidR="001D2B3A" w:rsidRPr="001D2B3A">
        <w:rPr>
          <w:b w:val="0"/>
        </w:rPr>
        <w:t>ew</w:t>
      </w:r>
      <w:r w:rsidR="007C30B4">
        <w:rPr>
          <w:b w:val="0"/>
        </w:rPr>
        <w:t>/planned</w:t>
      </w:r>
      <w:r w:rsidR="001D2B3A" w:rsidRPr="001D2B3A">
        <w:rPr>
          <w:b w:val="0"/>
        </w:rPr>
        <w:t xml:space="preserve"> vs existing (exemption vs non-exemption)</w:t>
      </w:r>
    </w:p>
    <w:p w:rsidR="001D2B3A" w:rsidRDefault="001D2B3A" w:rsidP="001D2B3A">
      <w:pPr>
        <w:pStyle w:val="ListSubhead1"/>
        <w:numPr>
          <w:ilvl w:val="2"/>
          <w:numId w:val="18"/>
        </w:numPr>
        <w:rPr>
          <w:b w:val="0"/>
        </w:rPr>
      </w:pPr>
      <w:r w:rsidRPr="001D2B3A">
        <w:rPr>
          <w:b w:val="0"/>
        </w:rPr>
        <w:t>Current “Existing” process used for credit requirement in auctions</w:t>
      </w:r>
    </w:p>
    <w:p w:rsidR="00C25931" w:rsidRDefault="00C25931" w:rsidP="001D2B3A">
      <w:pPr>
        <w:pStyle w:val="ListSubhead1"/>
        <w:numPr>
          <w:ilvl w:val="2"/>
          <w:numId w:val="18"/>
        </w:numPr>
        <w:rPr>
          <w:b w:val="0"/>
        </w:rPr>
      </w:pPr>
      <w:r>
        <w:rPr>
          <w:b w:val="0"/>
        </w:rPr>
        <w:t>FERC MOPR definition of existing</w:t>
      </w:r>
      <w:r w:rsidR="000E7467">
        <w:rPr>
          <w:b w:val="0"/>
        </w:rPr>
        <w:t xml:space="preserve"> for exemption vs existing after the exemption period</w:t>
      </w:r>
    </w:p>
    <w:p w:rsidR="000939A0" w:rsidRDefault="000939A0" w:rsidP="000939A0">
      <w:pPr>
        <w:pStyle w:val="ListSubhead1"/>
        <w:numPr>
          <w:ilvl w:val="1"/>
          <w:numId w:val="18"/>
        </w:numPr>
        <w:rPr>
          <w:b w:val="0"/>
        </w:rPr>
      </w:pPr>
      <w:r>
        <w:rPr>
          <w:b w:val="0"/>
        </w:rPr>
        <w:t>Competitive and Unit Specific Exemptions</w:t>
      </w:r>
    </w:p>
    <w:p w:rsidR="001D2B3A" w:rsidRPr="001D2B3A" w:rsidRDefault="001D2B3A" w:rsidP="001D2B3A">
      <w:pPr>
        <w:pStyle w:val="ListSubhead1"/>
        <w:numPr>
          <w:ilvl w:val="1"/>
          <w:numId w:val="18"/>
        </w:numPr>
        <w:rPr>
          <w:b w:val="0"/>
        </w:rPr>
      </w:pPr>
      <w:r w:rsidRPr="001D2B3A">
        <w:rPr>
          <w:b w:val="0"/>
        </w:rPr>
        <w:t>DR MOPR price</w:t>
      </w:r>
      <w:r w:rsidR="004876C7">
        <w:rPr>
          <w:b w:val="0"/>
        </w:rPr>
        <w:t xml:space="preserve"> structure</w:t>
      </w:r>
    </w:p>
    <w:p w:rsidR="001D2B3A" w:rsidRPr="001D2B3A" w:rsidRDefault="001D2B3A" w:rsidP="001D2B3A">
      <w:pPr>
        <w:pStyle w:val="ListSubhead1"/>
        <w:numPr>
          <w:ilvl w:val="2"/>
          <w:numId w:val="18"/>
        </w:numPr>
        <w:rPr>
          <w:b w:val="0"/>
        </w:rPr>
      </w:pPr>
      <w:proofErr w:type="spellStart"/>
      <w:r w:rsidRPr="001D2B3A">
        <w:rPr>
          <w:b w:val="0"/>
        </w:rPr>
        <w:t>LoadDR</w:t>
      </w:r>
      <w:proofErr w:type="spellEnd"/>
      <w:r w:rsidRPr="001D2B3A">
        <w:rPr>
          <w:b w:val="0"/>
        </w:rPr>
        <w:t xml:space="preserve"> vs </w:t>
      </w:r>
      <w:proofErr w:type="spellStart"/>
      <w:r w:rsidRPr="001D2B3A">
        <w:rPr>
          <w:b w:val="0"/>
        </w:rPr>
        <w:t>GenDR</w:t>
      </w:r>
      <w:proofErr w:type="spellEnd"/>
      <w:r w:rsidRPr="001D2B3A">
        <w:rPr>
          <w:b w:val="0"/>
        </w:rPr>
        <w:t xml:space="preserve"> and how can we determine today</w:t>
      </w:r>
      <w:r w:rsidR="007C30B4">
        <w:rPr>
          <w:b w:val="0"/>
        </w:rPr>
        <w:t>?</w:t>
      </w:r>
    </w:p>
    <w:p w:rsidR="001D2B3A" w:rsidRPr="001D2B3A" w:rsidRDefault="001D2B3A" w:rsidP="001D2B3A">
      <w:pPr>
        <w:pStyle w:val="ListSubhead1"/>
        <w:numPr>
          <w:ilvl w:val="2"/>
          <w:numId w:val="18"/>
        </w:numPr>
        <w:rPr>
          <w:b w:val="0"/>
        </w:rPr>
      </w:pPr>
      <w:r w:rsidRPr="001D2B3A">
        <w:rPr>
          <w:b w:val="0"/>
        </w:rPr>
        <w:t>Load DR – Gross and net CONE, Gross and net ACR</w:t>
      </w:r>
    </w:p>
    <w:p w:rsidR="001D2B3A" w:rsidRDefault="001D2B3A" w:rsidP="001D2B3A">
      <w:pPr>
        <w:pStyle w:val="ListSubhead1"/>
        <w:numPr>
          <w:ilvl w:val="2"/>
          <w:numId w:val="18"/>
        </w:numPr>
        <w:rPr>
          <w:b w:val="0"/>
        </w:rPr>
      </w:pPr>
      <w:r w:rsidRPr="001D2B3A">
        <w:rPr>
          <w:b w:val="0"/>
        </w:rPr>
        <w:t>Gen DR – Gross and net CONE, Gross and net ACR</w:t>
      </w:r>
    </w:p>
    <w:p w:rsidR="001D2B3A" w:rsidRDefault="00647729" w:rsidP="004876C7">
      <w:pPr>
        <w:pStyle w:val="ListSubhead1"/>
        <w:numPr>
          <w:ilvl w:val="1"/>
          <w:numId w:val="19"/>
        </w:numPr>
        <w:rPr>
          <w:b w:val="0"/>
        </w:rPr>
      </w:pPr>
      <w:r>
        <w:rPr>
          <w:b w:val="0"/>
        </w:rPr>
        <w:t xml:space="preserve">Draft DR </w:t>
      </w:r>
      <w:r w:rsidR="001D2B3A" w:rsidRPr="001D2B3A">
        <w:rPr>
          <w:b w:val="0"/>
        </w:rPr>
        <w:t xml:space="preserve">MOPR </w:t>
      </w:r>
      <w:r>
        <w:rPr>
          <w:b w:val="0"/>
        </w:rPr>
        <w:t>process.</w:t>
      </w:r>
      <w:r w:rsidR="001D2B3A" w:rsidRPr="001D2B3A">
        <w:rPr>
          <w:b w:val="0"/>
        </w:rPr>
        <w:t xml:space="preserve"> What needs to change and why based on MOPR and MOPR calculation process</w:t>
      </w:r>
      <w:r w:rsidR="007C30B4">
        <w:rPr>
          <w:b w:val="0"/>
        </w:rPr>
        <w:t xml:space="preserve">. </w:t>
      </w:r>
      <w:r w:rsidR="000939A0">
        <w:rPr>
          <w:b w:val="0"/>
        </w:rPr>
        <w:t xml:space="preserve">Walk through </w:t>
      </w:r>
      <w:r w:rsidR="007C30B4">
        <w:rPr>
          <w:b w:val="0"/>
        </w:rPr>
        <w:t>use cases</w:t>
      </w:r>
      <w:r>
        <w:rPr>
          <w:b w:val="0"/>
        </w:rPr>
        <w:t xml:space="preserve"> and discuss stakeholder suggestions.</w:t>
      </w:r>
    </w:p>
    <w:p w:rsidR="008B0AA6" w:rsidRDefault="000939A0" w:rsidP="004876C7">
      <w:pPr>
        <w:pStyle w:val="ListSubhead1"/>
        <w:numPr>
          <w:ilvl w:val="1"/>
          <w:numId w:val="19"/>
        </w:numPr>
        <w:rPr>
          <w:b w:val="0"/>
        </w:rPr>
      </w:pPr>
      <w:r>
        <w:rPr>
          <w:b w:val="0"/>
        </w:rPr>
        <w:t xml:space="preserve">Other </w:t>
      </w:r>
      <w:r w:rsidR="008B0AA6">
        <w:rPr>
          <w:b w:val="0"/>
        </w:rPr>
        <w:t>items</w:t>
      </w:r>
    </w:p>
    <w:p w:rsidR="008B0AA6" w:rsidRDefault="008B0AA6" w:rsidP="004876C7">
      <w:pPr>
        <w:pStyle w:val="ListSubhead1"/>
        <w:numPr>
          <w:ilvl w:val="2"/>
          <w:numId w:val="19"/>
        </w:numPr>
        <w:rPr>
          <w:b w:val="0"/>
        </w:rPr>
      </w:pPr>
      <w:r>
        <w:rPr>
          <w:b w:val="0"/>
        </w:rPr>
        <w:t>How to determine Load vs Gen DR</w:t>
      </w:r>
    </w:p>
    <w:p w:rsidR="008B0AA6" w:rsidRPr="001D2B3A" w:rsidRDefault="008B0AA6" w:rsidP="004876C7">
      <w:pPr>
        <w:pStyle w:val="ListSubhead1"/>
        <w:numPr>
          <w:ilvl w:val="3"/>
          <w:numId w:val="19"/>
        </w:numPr>
        <w:rPr>
          <w:b w:val="0"/>
        </w:rPr>
      </w:pPr>
      <w:r>
        <w:rPr>
          <w:b w:val="0"/>
        </w:rPr>
        <w:lastRenderedPageBreak/>
        <w:t>New registration, new nominated ICAP, prorate from CSP reported load reduction capability</w:t>
      </w:r>
    </w:p>
    <w:p w:rsidR="00A4718E" w:rsidRDefault="00A4718E" w:rsidP="00A4718E">
      <w:pPr>
        <w:pStyle w:val="PrimaryHeading"/>
      </w:pPr>
      <w:r>
        <w:t>(</w:t>
      </w:r>
      <w:r w:rsidR="00F0078F">
        <w:t>3</w:t>
      </w:r>
      <w:r w:rsidR="00616CE5">
        <w:t>:</w:t>
      </w:r>
      <w:r w:rsidR="00C5151E">
        <w:t>30</w:t>
      </w:r>
      <w:r w:rsidR="00616CE5">
        <w:t xml:space="preserve"> </w:t>
      </w:r>
      <w:r>
        <w:t>–</w:t>
      </w:r>
      <w:r w:rsidR="00616CE5">
        <w:t xml:space="preserve"> </w:t>
      </w:r>
      <w:r w:rsidR="00F0078F">
        <w:t>4</w:t>
      </w:r>
      <w:r w:rsidR="00616CE5">
        <w:t>:</w:t>
      </w:r>
      <w:r w:rsidR="00EE574A">
        <w:t>0</w:t>
      </w:r>
      <w:r w:rsidR="00362593">
        <w:t>0</w:t>
      </w:r>
      <w:r w:rsidRPr="00DB29E9">
        <w:t>)</w:t>
      </w:r>
      <w:r w:rsidR="00616CE5">
        <w:t xml:space="preserve"> </w:t>
      </w:r>
      <w:r w:rsidR="004876C7">
        <w:t xml:space="preserve">Impact of </w:t>
      </w:r>
      <w:r w:rsidR="00616CE5">
        <w:t>MOPR order on EE</w:t>
      </w:r>
      <w:r>
        <w:t xml:space="preserve"> </w:t>
      </w:r>
    </w:p>
    <w:p w:rsidR="00A4718E" w:rsidRDefault="00C25931" w:rsidP="00A4718E">
      <w:pPr>
        <w:pStyle w:val="ListSubhead1"/>
        <w:rPr>
          <w:b w:val="0"/>
        </w:rPr>
      </w:pPr>
      <w:r>
        <w:rPr>
          <w:b w:val="0"/>
        </w:rPr>
        <w:t>Discussion of how the MOPR order may impact the EE offer process in RPM auctions.  This will be a discussion similar to DR agenda item outlined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A4718E" w:rsidP="002D28A5">
            <w:pPr>
              <w:pStyle w:val="PrimaryHeading"/>
              <w:ind w:left="-109"/>
            </w:pPr>
            <w:r>
              <w:t xml:space="preserve"> </w:t>
            </w:r>
            <w:r w:rsidR="002B2F98">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2D28A5">
            <w:pPr>
              <w:pStyle w:val="PrimaryHeading"/>
              <w:ind w:left="-109"/>
            </w:pPr>
            <w:r>
              <w:t>Future Meeting Dates</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3/9/2020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4/13/2020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5/18/2020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6/11/2020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7/9/2020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8/3/2020</w:t>
            </w:r>
          </w:p>
        </w:tc>
        <w:tc>
          <w:tcPr>
            <w:tcW w:w="3128" w:type="dxa"/>
            <w:vAlign w:val="center"/>
          </w:tcPr>
          <w:p w:rsidR="001830F4"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9/3/2020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10/5/2020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11/2/2020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Pr="00B62597" w:rsidRDefault="001830F4" w:rsidP="001830F4">
            <w:pPr>
              <w:pStyle w:val="AttendeesList"/>
            </w:pPr>
            <w:r>
              <w:t>Thursday</w:t>
            </w:r>
          </w:p>
        </w:tc>
        <w:tc>
          <w:tcPr>
            <w:tcW w:w="3114" w:type="dxa"/>
            <w:vAlign w:val="center"/>
          </w:tcPr>
          <w:p w:rsidR="001830F4" w:rsidRPr="00B62597" w:rsidRDefault="001830F4" w:rsidP="001830F4">
            <w:pPr>
              <w:pStyle w:val="AttendeesList"/>
            </w:pPr>
            <w:r>
              <w:t>12/3/2020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p>
        </w:tc>
        <w:tc>
          <w:tcPr>
            <w:tcW w:w="3114" w:type="dxa"/>
            <w:vAlign w:val="center"/>
          </w:tcPr>
          <w:p w:rsidR="001830F4" w:rsidRPr="00B62597" w:rsidRDefault="001830F4" w:rsidP="001830F4">
            <w:pPr>
              <w:pStyle w:val="AttendeesList"/>
            </w:pPr>
          </w:p>
        </w:tc>
        <w:tc>
          <w:tcPr>
            <w:tcW w:w="3128" w:type="dxa"/>
            <w:vAlign w:val="center"/>
          </w:tcPr>
          <w:p w:rsidR="001830F4" w:rsidRPr="00B62597" w:rsidRDefault="001830F4" w:rsidP="001830F4">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E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1C4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E1C46">
    <w:pPr>
      <w:rPr>
        <w:sz w:val="16"/>
      </w:rPr>
    </w:pPr>
  </w:p>
  <w:p w:rsidR="003C17E2" w:rsidRDefault="007E1C46">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6B60A4A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4273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A1C601F"/>
    <w:multiLevelType w:val="multilevel"/>
    <w:tmpl w:val="013E062E"/>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4"/>
  </w:num>
  <w:num w:numId="13">
    <w:abstractNumId w:val="2"/>
  </w:num>
  <w:num w:numId="14">
    <w:abstractNumId w:val="0"/>
  </w:num>
  <w:num w:numId="15">
    <w:abstractNumId w:val="0"/>
  </w:num>
  <w:num w:numId="16">
    <w:abstractNumId w:val="0"/>
    <w:lvlOverride w:ilvl="0">
      <w:startOverride w:val="1"/>
    </w:lvlOverride>
  </w:num>
  <w:num w:numId="17">
    <w:abstractNumId w:val="3"/>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6025A"/>
    <w:rsid w:val="00092135"/>
    <w:rsid w:val="000939A0"/>
    <w:rsid w:val="000B6F9C"/>
    <w:rsid w:val="000E7467"/>
    <w:rsid w:val="00112AA4"/>
    <w:rsid w:val="00134215"/>
    <w:rsid w:val="001830F4"/>
    <w:rsid w:val="00195D06"/>
    <w:rsid w:val="001B2242"/>
    <w:rsid w:val="001C0CC0"/>
    <w:rsid w:val="001D2B3A"/>
    <w:rsid w:val="001D3B68"/>
    <w:rsid w:val="001F0854"/>
    <w:rsid w:val="001F6DF6"/>
    <w:rsid w:val="002113BD"/>
    <w:rsid w:val="002211BB"/>
    <w:rsid w:val="002467FC"/>
    <w:rsid w:val="002A2C0C"/>
    <w:rsid w:val="002B2F98"/>
    <w:rsid w:val="002C6057"/>
    <w:rsid w:val="002D28A5"/>
    <w:rsid w:val="002D7096"/>
    <w:rsid w:val="00305238"/>
    <w:rsid w:val="003251CE"/>
    <w:rsid w:val="00337321"/>
    <w:rsid w:val="00362593"/>
    <w:rsid w:val="00392FF4"/>
    <w:rsid w:val="003B55E1"/>
    <w:rsid w:val="003D7E5C"/>
    <w:rsid w:val="003E7A73"/>
    <w:rsid w:val="003F7F6F"/>
    <w:rsid w:val="00415F60"/>
    <w:rsid w:val="0046415F"/>
    <w:rsid w:val="004876C7"/>
    <w:rsid w:val="00491490"/>
    <w:rsid w:val="004931A9"/>
    <w:rsid w:val="00494494"/>
    <w:rsid w:val="004969FA"/>
    <w:rsid w:val="004B38CD"/>
    <w:rsid w:val="00527104"/>
    <w:rsid w:val="00564DEE"/>
    <w:rsid w:val="0057441E"/>
    <w:rsid w:val="00593A12"/>
    <w:rsid w:val="005D6D05"/>
    <w:rsid w:val="0060002F"/>
    <w:rsid w:val="00602967"/>
    <w:rsid w:val="00606F11"/>
    <w:rsid w:val="006104EF"/>
    <w:rsid w:val="00616CE5"/>
    <w:rsid w:val="00624A91"/>
    <w:rsid w:val="00647729"/>
    <w:rsid w:val="00686724"/>
    <w:rsid w:val="006C46C4"/>
    <w:rsid w:val="00712CAA"/>
    <w:rsid w:val="00716A8B"/>
    <w:rsid w:val="007435F4"/>
    <w:rsid w:val="00744A45"/>
    <w:rsid w:val="00754C6D"/>
    <w:rsid w:val="00755096"/>
    <w:rsid w:val="00776F87"/>
    <w:rsid w:val="007A34A3"/>
    <w:rsid w:val="007C2954"/>
    <w:rsid w:val="007C30B4"/>
    <w:rsid w:val="007D4F70"/>
    <w:rsid w:val="007E1C46"/>
    <w:rsid w:val="007E7CAB"/>
    <w:rsid w:val="00813444"/>
    <w:rsid w:val="00837B12"/>
    <w:rsid w:val="00841282"/>
    <w:rsid w:val="008514C3"/>
    <w:rsid w:val="00867184"/>
    <w:rsid w:val="00882652"/>
    <w:rsid w:val="00891EF0"/>
    <w:rsid w:val="0089673A"/>
    <w:rsid w:val="008B0AA6"/>
    <w:rsid w:val="0090443C"/>
    <w:rsid w:val="00917386"/>
    <w:rsid w:val="009213B7"/>
    <w:rsid w:val="009362A6"/>
    <w:rsid w:val="00991528"/>
    <w:rsid w:val="009A5430"/>
    <w:rsid w:val="009C15C4"/>
    <w:rsid w:val="009F537F"/>
    <w:rsid w:val="009F53F9"/>
    <w:rsid w:val="00A05391"/>
    <w:rsid w:val="00A317A9"/>
    <w:rsid w:val="00A41149"/>
    <w:rsid w:val="00A4718E"/>
    <w:rsid w:val="00A61FBA"/>
    <w:rsid w:val="00A71872"/>
    <w:rsid w:val="00A97A11"/>
    <w:rsid w:val="00B04819"/>
    <w:rsid w:val="00B16D95"/>
    <w:rsid w:val="00B17599"/>
    <w:rsid w:val="00B20316"/>
    <w:rsid w:val="00B338C3"/>
    <w:rsid w:val="00B34E3C"/>
    <w:rsid w:val="00B62597"/>
    <w:rsid w:val="00BA038B"/>
    <w:rsid w:val="00BA6146"/>
    <w:rsid w:val="00BB531B"/>
    <w:rsid w:val="00BC2A6C"/>
    <w:rsid w:val="00BF331B"/>
    <w:rsid w:val="00C25117"/>
    <w:rsid w:val="00C25931"/>
    <w:rsid w:val="00C439EC"/>
    <w:rsid w:val="00C5151E"/>
    <w:rsid w:val="00C72168"/>
    <w:rsid w:val="00C757F4"/>
    <w:rsid w:val="00C7665C"/>
    <w:rsid w:val="00C86CEB"/>
    <w:rsid w:val="00CA49B9"/>
    <w:rsid w:val="00CB19DE"/>
    <w:rsid w:val="00CB475B"/>
    <w:rsid w:val="00CC1B47"/>
    <w:rsid w:val="00D136EA"/>
    <w:rsid w:val="00D251ED"/>
    <w:rsid w:val="00D50E30"/>
    <w:rsid w:val="00D65D53"/>
    <w:rsid w:val="00D95949"/>
    <w:rsid w:val="00D95B31"/>
    <w:rsid w:val="00DB29E9"/>
    <w:rsid w:val="00DD7DFB"/>
    <w:rsid w:val="00DE34CF"/>
    <w:rsid w:val="00E32B6B"/>
    <w:rsid w:val="00E55E84"/>
    <w:rsid w:val="00E760AD"/>
    <w:rsid w:val="00EB68B0"/>
    <w:rsid w:val="00EC5B03"/>
    <w:rsid w:val="00EE574A"/>
    <w:rsid w:val="00F0078F"/>
    <w:rsid w:val="00F16CCD"/>
    <w:rsid w:val="00F4190F"/>
    <w:rsid w:val="00F57B1A"/>
    <w:rsid w:val="00FC2B9A"/>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084045"/>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5"/>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263</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Thomas, Jack</cp:lastModifiedBy>
  <cp:revision>21</cp:revision>
  <cp:lastPrinted>2015-02-05T19:57:00Z</cp:lastPrinted>
  <dcterms:created xsi:type="dcterms:W3CDTF">2020-01-23T19:51:00Z</dcterms:created>
  <dcterms:modified xsi:type="dcterms:W3CDTF">2020-02-14T18:04:00Z</dcterms:modified>
</cp:coreProperties>
</file>