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754001" w:rsidP="00BB6C29">
      <w:pPr>
        <w:pStyle w:val="MeetingDetails"/>
      </w:pPr>
      <w:r>
        <w:t>Sep 02</w:t>
      </w:r>
      <w:r w:rsidR="00F757E1">
        <w:t>,</w:t>
      </w:r>
      <w:r w:rsidR="00BB6C29">
        <w:t xml:space="preserve"> 202</w:t>
      </w:r>
      <w:r w:rsidR="00F757E1">
        <w:t>1</w:t>
      </w:r>
    </w:p>
    <w:p w:rsidR="00BB6C29" w:rsidRPr="00B62597" w:rsidRDefault="00F757E1" w:rsidP="00BB6C29">
      <w:pPr>
        <w:pStyle w:val="MeetingDetails"/>
        <w:rPr>
          <w:sz w:val="28"/>
          <w:u w:val="single"/>
        </w:rPr>
      </w:pPr>
      <w:r>
        <w:t>1</w:t>
      </w:r>
      <w:r w:rsidR="00BB6C29">
        <w:t xml:space="preserve">:00 </w:t>
      </w:r>
      <w:r w:rsidR="00870317">
        <w:t>p</w:t>
      </w:r>
      <w:r w:rsidR="00393D0C">
        <w:t>m</w:t>
      </w:r>
      <w:r w:rsidR="00BB6C29">
        <w:t xml:space="preserve"> – </w:t>
      </w:r>
      <w:r w:rsidR="006B40C4">
        <w:t>2</w:t>
      </w:r>
      <w:r w:rsidR="00E22239">
        <w:t>:</w:t>
      </w:r>
      <w:r w:rsidR="0008212E">
        <w:t>3</w:t>
      </w:r>
      <w:r w:rsidR="00E22239">
        <w:t>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471C29">
        <w:t>1</w:t>
      </w:r>
      <w:r w:rsidRPr="00527104">
        <w:t>:00</w:t>
      </w:r>
      <w:r>
        <w:t xml:space="preserve"> </w:t>
      </w:r>
      <w:r w:rsidRPr="00527104">
        <w:t>-</w:t>
      </w:r>
      <w:r w:rsidR="0033567C">
        <w:t>2</w:t>
      </w:r>
      <w:r w:rsidRPr="00527104">
        <w:t>:</w:t>
      </w:r>
      <w:r w:rsidR="0069315E">
        <w:t>30)</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Review prior minutes –</w:t>
      </w:r>
      <w:r w:rsidR="00AF13AE">
        <w:rPr>
          <w:sz w:val="24"/>
          <w:szCs w:val="24"/>
        </w:rPr>
        <w:t>7</w:t>
      </w:r>
      <w:r w:rsidR="00E22239">
        <w:rPr>
          <w:sz w:val="24"/>
          <w:szCs w:val="24"/>
        </w:rPr>
        <w:t>/</w:t>
      </w:r>
      <w:r w:rsidR="00AF13AE">
        <w:rPr>
          <w:sz w:val="24"/>
          <w:szCs w:val="24"/>
        </w:rPr>
        <w:t>9</w:t>
      </w:r>
      <w:r>
        <w:rPr>
          <w:sz w:val="24"/>
          <w:szCs w:val="24"/>
        </w:rPr>
        <w:t>/202</w:t>
      </w:r>
      <w:r w:rsidR="0008212E">
        <w:rPr>
          <w:sz w:val="24"/>
          <w:szCs w:val="24"/>
        </w:rPr>
        <w:t>1</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0D688A" w:rsidRDefault="00BB6C29" w:rsidP="00E40D40">
      <w:pPr>
        <w:pStyle w:val="ListedItem"/>
        <w:rPr>
          <w:sz w:val="24"/>
          <w:szCs w:val="24"/>
        </w:rPr>
      </w:pPr>
      <w:r w:rsidRPr="00E22239">
        <w:rPr>
          <w:sz w:val="24"/>
          <w:szCs w:val="24"/>
        </w:rPr>
        <w:t>Brief update/discussion of DR related activity in other stakeholder groups – MIC, OC, PC, or other</w:t>
      </w:r>
    </w:p>
    <w:p w:rsidR="0032581E" w:rsidRDefault="0032581E" w:rsidP="00E40D40">
      <w:pPr>
        <w:pStyle w:val="ListedItem"/>
        <w:rPr>
          <w:sz w:val="24"/>
          <w:szCs w:val="24"/>
        </w:rPr>
      </w:pPr>
      <w:r>
        <w:rPr>
          <w:sz w:val="24"/>
          <w:szCs w:val="24"/>
        </w:rPr>
        <w:t>DR Hub release – On-Site Generator settlement process</w:t>
      </w:r>
    </w:p>
    <w:p w:rsidR="00B85108" w:rsidRPr="00E22239" w:rsidRDefault="00B85108" w:rsidP="00E40D40">
      <w:pPr>
        <w:pStyle w:val="ListedItem"/>
        <w:rPr>
          <w:sz w:val="24"/>
          <w:szCs w:val="24"/>
        </w:rPr>
      </w:pPr>
      <w:r>
        <w:rPr>
          <w:sz w:val="24"/>
          <w:szCs w:val="24"/>
        </w:rPr>
        <w:t>MOPR and DR</w:t>
      </w:r>
    </w:p>
    <w:p w:rsidR="00BB6C29" w:rsidRPr="00DB29E9" w:rsidRDefault="00BB6C29" w:rsidP="00BB6C29">
      <w:pPr>
        <w:pStyle w:val="PrimaryHeading"/>
      </w:pPr>
      <w:r>
        <w:t>(</w:t>
      </w:r>
      <w:r w:rsidR="00471C29">
        <w:t>1</w:t>
      </w:r>
      <w:r w:rsidR="007E2DA2">
        <w:t>:1</w:t>
      </w:r>
      <w:r w:rsidR="00471C29">
        <w:t>5</w:t>
      </w:r>
      <w:r w:rsidR="007E2DA2">
        <w:t xml:space="preserve"> </w:t>
      </w:r>
      <w:r>
        <w:t>–</w:t>
      </w:r>
      <w:r w:rsidR="00471C29">
        <w:t xml:space="preserve"> </w:t>
      </w:r>
      <w:r w:rsidR="00744EBA">
        <w:t>1:45</w:t>
      </w:r>
      <w:r>
        <w:t>)</w:t>
      </w:r>
      <w:r w:rsidR="00AB0DD7">
        <w:t xml:space="preserve"> </w:t>
      </w:r>
      <w:r w:rsidR="00E22239">
        <w:t xml:space="preserve"> </w:t>
      </w:r>
      <w:r w:rsidR="00744EBA">
        <w:t>Load Management Test Requirements that become effective for 23/24 DY</w:t>
      </w:r>
    </w:p>
    <w:p w:rsidR="00BB6C29" w:rsidRPr="0032581E" w:rsidRDefault="00744EBA" w:rsidP="0007273A">
      <w:pPr>
        <w:pStyle w:val="ListSubhead1"/>
        <w:numPr>
          <w:ilvl w:val="0"/>
          <w:numId w:val="14"/>
        </w:numPr>
        <w:rPr>
          <w:b w:val="0"/>
        </w:rPr>
      </w:pPr>
      <w:r>
        <w:rPr>
          <w:b w:val="0"/>
        </w:rPr>
        <w:t xml:space="preserve">Jack O’Neill will provide a reminder on the FERC approved </w:t>
      </w:r>
      <w:r w:rsidR="00E64CA5">
        <w:rPr>
          <w:b w:val="0"/>
        </w:rPr>
        <w:t>Load Management Test Requirements that become effective for 23/24 DY.</w:t>
      </w:r>
      <w:r>
        <w:rPr>
          <w:b w:val="0"/>
        </w:rPr>
        <w:t xml:space="preserve"> Note – conforming manual provisions will go through the stakeholder process in the future.</w:t>
      </w:r>
    </w:p>
    <w:p w:rsidR="007A1518" w:rsidRPr="00DB29E9" w:rsidRDefault="007A1518" w:rsidP="007A1518">
      <w:pPr>
        <w:pStyle w:val="PrimaryHeading"/>
      </w:pPr>
      <w:r>
        <w:t>(1:</w:t>
      </w:r>
      <w:r w:rsidR="00744EBA">
        <w:t>45</w:t>
      </w:r>
      <w:r>
        <w:t xml:space="preserve"> – </w:t>
      </w:r>
      <w:r w:rsidR="00744EBA">
        <w:t>2:</w:t>
      </w:r>
      <w:r w:rsidR="0069315E">
        <w:t>30</w:t>
      </w:r>
      <w:bookmarkStart w:id="2" w:name="_GoBack"/>
      <w:bookmarkEnd w:id="2"/>
      <w:r>
        <w:t xml:space="preserve">)  </w:t>
      </w:r>
      <w:r w:rsidR="00FC7845">
        <w:t>Peak Shaving Adjustment plan updated performance calculation</w:t>
      </w:r>
    </w:p>
    <w:p w:rsidR="00246E28" w:rsidRDefault="00744EBA" w:rsidP="00BB6C29">
      <w:pPr>
        <w:pStyle w:val="ListSubhead1"/>
        <w:numPr>
          <w:ilvl w:val="0"/>
          <w:numId w:val="14"/>
        </w:numPr>
        <w:rPr>
          <w:b w:val="0"/>
        </w:rPr>
      </w:pPr>
      <w:r>
        <w:rPr>
          <w:b w:val="0"/>
        </w:rPr>
        <w:t xml:space="preserve">Ed Rich will discuss the proposed </w:t>
      </w:r>
      <w:r w:rsidR="00246E28">
        <w:rPr>
          <w:b w:val="0"/>
        </w:rPr>
        <w:t>P</w:t>
      </w:r>
      <w:r w:rsidR="007A1518">
        <w:rPr>
          <w:b w:val="0"/>
        </w:rPr>
        <w:t xml:space="preserve">eak </w:t>
      </w:r>
      <w:r w:rsidR="00246E28">
        <w:rPr>
          <w:b w:val="0"/>
        </w:rPr>
        <w:t>S</w:t>
      </w:r>
      <w:r w:rsidR="007A1518">
        <w:rPr>
          <w:b w:val="0"/>
        </w:rPr>
        <w:t xml:space="preserve">having </w:t>
      </w:r>
      <w:r w:rsidR="00246E28">
        <w:rPr>
          <w:b w:val="0"/>
        </w:rPr>
        <w:t>A</w:t>
      </w:r>
      <w:r w:rsidR="007A1518">
        <w:rPr>
          <w:b w:val="0"/>
        </w:rPr>
        <w:t>djustment performance calculation</w:t>
      </w:r>
      <w:r>
        <w:rPr>
          <w:b w:val="0"/>
        </w:rPr>
        <w:t xml:space="preserve"> quick fix and the associated M-19 changes. The plan is to </w:t>
      </w:r>
      <w:r w:rsidR="00FC7845">
        <w:rPr>
          <w:b w:val="0"/>
        </w:rPr>
        <w:t xml:space="preserve">solicit feedback at the DRS prior to the first read at the 9/9 MIC meeting. Note: PJM filed at FERC on 8/23 to reinstate the PSA plan submission deadline tied to the PJM load forecast process to ensure the PSA plan </w:t>
      </w:r>
      <w:proofErr w:type="gramStart"/>
      <w:r w:rsidR="00FC7845">
        <w:rPr>
          <w:b w:val="0"/>
        </w:rPr>
        <w:t>is submitted</w:t>
      </w:r>
      <w:proofErr w:type="gramEnd"/>
      <w:r w:rsidR="00FC7845">
        <w:rPr>
          <w:b w:val="0"/>
        </w:rPr>
        <w:t xml:space="preserve"> in time to adjust the load forecast.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A90C56" w:rsidTr="00110112">
        <w:tc>
          <w:tcPr>
            <w:tcW w:w="3118" w:type="dxa"/>
            <w:vAlign w:val="center"/>
          </w:tcPr>
          <w:p w:rsidR="00A90C56" w:rsidRPr="00B62597" w:rsidRDefault="00A90C56" w:rsidP="00BD170F">
            <w:pPr>
              <w:pStyle w:val="AttendeesList"/>
            </w:pPr>
            <w:r>
              <w:t>Monday</w:t>
            </w:r>
          </w:p>
        </w:tc>
        <w:tc>
          <w:tcPr>
            <w:tcW w:w="3114" w:type="dxa"/>
            <w:vAlign w:val="center"/>
          </w:tcPr>
          <w:p w:rsidR="00A90C56" w:rsidRPr="00B62597" w:rsidRDefault="00A90C56" w:rsidP="00BD170F">
            <w:pPr>
              <w:pStyle w:val="AttendeesList"/>
            </w:pPr>
            <w:r>
              <w:t>10/4/2021</w:t>
            </w:r>
          </w:p>
        </w:tc>
        <w:tc>
          <w:tcPr>
            <w:tcW w:w="3128" w:type="dxa"/>
            <w:vAlign w:val="center"/>
          </w:tcPr>
          <w:p w:rsidR="00A90C56"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Wednesday</w:t>
            </w:r>
          </w:p>
        </w:tc>
        <w:tc>
          <w:tcPr>
            <w:tcW w:w="3114" w:type="dxa"/>
            <w:vAlign w:val="center"/>
          </w:tcPr>
          <w:p w:rsidR="00A90C56" w:rsidRPr="00B62597" w:rsidRDefault="00A90C56" w:rsidP="00BD170F">
            <w:pPr>
              <w:pStyle w:val="AttendeesList"/>
            </w:pPr>
            <w:r>
              <w:t>11/10/2021</w:t>
            </w:r>
          </w:p>
        </w:tc>
        <w:tc>
          <w:tcPr>
            <w:tcW w:w="3128" w:type="dxa"/>
            <w:vAlign w:val="center"/>
          </w:tcPr>
          <w:p w:rsidR="00A90C56" w:rsidRPr="00B62597" w:rsidRDefault="00A90C56" w:rsidP="00BD170F">
            <w:pPr>
              <w:pStyle w:val="AttendeesList"/>
            </w:pPr>
            <w:r>
              <w:t>9:00 am – 12:00 pm</w:t>
            </w:r>
          </w:p>
        </w:tc>
      </w:tr>
      <w:tr w:rsidR="00A90C56" w:rsidTr="00110112">
        <w:tc>
          <w:tcPr>
            <w:tcW w:w="3118" w:type="dxa"/>
            <w:vAlign w:val="center"/>
          </w:tcPr>
          <w:p w:rsidR="00A90C56" w:rsidRPr="00B62597" w:rsidRDefault="00A90C56" w:rsidP="00BD170F">
            <w:pPr>
              <w:pStyle w:val="AttendeesList"/>
            </w:pPr>
            <w:r>
              <w:t>Thursday</w:t>
            </w:r>
          </w:p>
        </w:tc>
        <w:tc>
          <w:tcPr>
            <w:tcW w:w="3114" w:type="dxa"/>
            <w:vAlign w:val="center"/>
          </w:tcPr>
          <w:p w:rsidR="00A90C56" w:rsidRPr="00B62597" w:rsidRDefault="00A90C56" w:rsidP="00BD170F">
            <w:pPr>
              <w:pStyle w:val="AttendeesList"/>
            </w:pPr>
            <w:r>
              <w:t>12/9/2021</w:t>
            </w:r>
          </w:p>
        </w:tc>
        <w:tc>
          <w:tcPr>
            <w:tcW w:w="3128" w:type="dxa"/>
            <w:vAlign w:val="center"/>
          </w:tcPr>
          <w:p w:rsidR="00A90C56" w:rsidRPr="00B62597" w:rsidRDefault="00A90C56" w:rsidP="00BD170F">
            <w:pPr>
              <w:pStyle w:val="AttendeesList"/>
            </w:pPr>
            <w:r>
              <w:t>9:00 am – 12:00 pm</w:t>
            </w: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9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315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8212E"/>
    <w:rsid w:val="00092135"/>
    <w:rsid w:val="000B053D"/>
    <w:rsid w:val="000D3242"/>
    <w:rsid w:val="000D688A"/>
    <w:rsid w:val="001578BE"/>
    <w:rsid w:val="001678E8"/>
    <w:rsid w:val="001A286F"/>
    <w:rsid w:val="001B2242"/>
    <w:rsid w:val="001C0CC0"/>
    <w:rsid w:val="001D3B68"/>
    <w:rsid w:val="001D4B88"/>
    <w:rsid w:val="002113BD"/>
    <w:rsid w:val="00246E28"/>
    <w:rsid w:val="00275B29"/>
    <w:rsid w:val="00281737"/>
    <w:rsid w:val="00295A25"/>
    <w:rsid w:val="002B2F98"/>
    <w:rsid w:val="002C6057"/>
    <w:rsid w:val="00304A98"/>
    <w:rsid w:val="00305238"/>
    <w:rsid w:val="00307FFA"/>
    <w:rsid w:val="003251CE"/>
    <w:rsid w:val="0032581E"/>
    <w:rsid w:val="0033567C"/>
    <w:rsid w:val="00337321"/>
    <w:rsid w:val="003441FE"/>
    <w:rsid w:val="0035372A"/>
    <w:rsid w:val="00393D0C"/>
    <w:rsid w:val="003A6149"/>
    <w:rsid w:val="003B55E1"/>
    <w:rsid w:val="003D7E5C"/>
    <w:rsid w:val="003E12A4"/>
    <w:rsid w:val="003E7A73"/>
    <w:rsid w:val="0046043F"/>
    <w:rsid w:val="004710EE"/>
    <w:rsid w:val="00471C29"/>
    <w:rsid w:val="00491490"/>
    <w:rsid w:val="00494494"/>
    <w:rsid w:val="004969FA"/>
    <w:rsid w:val="004B6ABE"/>
    <w:rsid w:val="004F3D8F"/>
    <w:rsid w:val="00513397"/>
    <w:rsid w:val="00527104"/>
    <w:rsid w:val="00556582"/>
    <w:rsid w:val="00564DEE"/>
    <w:rsid w:val="0057441E"/>
    <w:rsid w:val="005A5D0D"/>
    <w:rsid w:val="005D6D05"/>
    <w:rsid w:val="006024A0"/>
    <w:rsid w:val="00602967"/>
    <w:rsid w:val="00606F11"/>
    <w:rsid w:val="0062437D"/>
    <w:rsid w:val="0069315E"/>
    <w:rsid w:val="006B40C4"/>
    <w:rsid w:val="006E46F5"/>
    <w:rsid w:val="006F7A52"/>
    <w:rsid w:val="00712CAA"/>
    <w:rsid w:val="00716A8B"/>
    <w:rsid w:val="00744A45"/>
    <w:rsid w:val="00744EBA"/>
    <w:rsid w:val="007503F1"/>
    <w:rsid w:val="00754001"/>
    <w:rsid w:val="00754C6D"/>
    <w:rsid w:val="00755096"/>
    <w:rsid w:val="007610AC"/>
    <w:rsid w:val="007703B4"/>
    <w:rsid w:val="00781EF5"/>
    <w:rsid w:val="00797177"/>
    <w:rsid w:val="007A1518"/>
    <w:rsid w:val="007A34A3"/>
    <w:rsid w:val="007C2954"/>
    <w:rsid w:val="007C59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E7A31"/>
    <w:rsid w:val="00AF13AE"/>
    <w:rsid w:val="00B04D07"/>
    <w:rsid w:val="00B16D95"/>
    <w:rsid w:val="00B20316"/>
    <w:rsid w:val="00B34E3C"/>
    <w:rsid w:val="00B62597"/>
    <w:rsid w:val="00B85108"/>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DF5A39"/>
    <w:rsid w:val="00E073AE"/>
    <w:rsid w:val="00E10D12"/>
    <w:rsid w:val="00E1373D"/>
    <w:rsid w:val="00E22239"/>
    <w:rsid w:val="00E32B6B"/>
    <w:rsid w:val="00E5387A"/>
    <w:rsid w:val="00E544EF"/>
    <w:rsid w:val="00E55E84"/>
    <w:rsid w:val="00E64CA5"/>
    <w:rsid w:val="00EB5C09"/>
    <w:rsid w:val="00EB68B0"/>
    <w:rsid w:val="00F35B4B"/>
    <w:rsid w:val="00F4190F"/>
    <w:rsid w:val="00F744CF"/>
    <w:rsid w:val="00F757E1"/>
    <w:rsid w:val="00F9083D"/>
    <w:rsid w:val="00FB43D1"/>
    <w:rsid w:val="00FC2B9A"/>
    <w:rsid w:val="00FC7845"/>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BCE9655"/>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35</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11</cp:revision>
  <cp:lastPrinted>2015-02-05T19:57:00Z</cp:lastPrinted>
  <dcterms:created xsi:type="dcterms:W3CDTF">2021-08-24T16:40:00Z</dcterms:created>
  <dcterms:modified xsi:type="dcterms:W3CDTF">2021-08-26T21:34:00Z</dcterms:modified>
</cp:coreProperties>
</file>