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p>
    <w:p w:rsidR="00BB6C29" w:rsidRPr="00B62597" w:rsidP="00BB6C29">
      <w:pPr>
        <w:pStyle w:val="MeetingDetails"/>
      </w:pPr>
      <w:r>
        <w:t>WebEx/Conference Call</w:t>
      </w:r>
    </w:p>
    <w:p w:rsidR="00BB6C29" w:rsidRPr="00B62597" w:rsidP="00BB6C29">
      <w:pPr>
        <w:pStyle w:val="MeetingDetails"/>
      </w:pPr>
      <w:r>
        <w:t>Jun</w:t>
      </w:r>
      <w:r w:rsidR="003230DC">
        <w:t xml:space="preserve"> </w:t>
      </w:r>
      <w:r>
        <w:t>2</w:t>
      </w:r>
      <w:r w:rsidR="00F757E1">
        <w:t>,</w:t>
      </w:r>
      <w:r>
        <w:t xml:space="preserve"> 202</w:t>
      </w:r>
      <w:r w:rsidR="00375A27">
        <w:t>2</w:t>
      </w:r>
    </w:p>
    <w:p w:rsidR="00BB6C29" w:rsidRPr="00B62597" w:rsidP="00BB6C29">
      <w:pPr>
        <w:pStyle w:val="MeetingDetails"/>
        <w:rPr>
          <w:sz w:val="28"/>
          <w:u w:val="single"/>
        </w:rPr>
      </w:pPr>
      <w:r>
        <w:t>1:</w:t>
      </w:r>
      <w:r>
        <w:t xml:space="preserve">00 </w:t>
      </w:r>
      <w:r w:rsidR="00870317">
        <w:t>p</w:t>
      </w:r>
      <w:r w:rsidR="00393D0C">
        <w:t>m</w:t>
      </w:r>
      <w:r>
        <w:t xml:space="preserve"> – </w:t>
      </w:r>
      <w:r>
        <w:t>4</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0" w:name="OLE_LINK5"/>
      <w:bookmarkStart w:id="1" w:name="OLE_LINK3"/>
      <w:r w:rsidRPr="00527104">
        <w:t>Adm</w:t>
      </w:r>
      <w:r w:rsidRPr="007C2954">
        <w:t>inistrati</w:t>
      </w:r>
      <w:r w:rsidRPr="00527104">
        <w:t>on (</w:t>
      </w:r>
      <w:r w:rsidR="00375A27">
        <w:t>1</w:t>
      </w:r>
      <w:r w:rsidRPr="00527104">
        <w:t>:00</w:t>
      </w:r>
      <w:r>
        <w:t xml:space="preserve"> </w:t>
      </w:r>
      <w:r w:rsidRPr="00527104">
        <w:t>-</w:t>
      </w:r>
      <w:r w:rsidR="00056387">
        <w:t xml:space="preserve"> </w:t>
      </w:r>
      <w:r w:rsidR="00375A27">
        <w:t>1</w:t>
      </w:r>
      <w:r w:rsidRPr="00527104">
        <w:t>:</w:t>
      </w:r>
      <w:r>
        <w:t>1</w:t>
      </w:r>
      <w:r w:rsidR="00471C29">
        <w:t>5</w:t>
      </w:r>
      <w:r w:rsidRPr="00527104">
        <w:t>)</w:t>
      </w:r>
    </w:p>
    <w:bookmarkEnd w:id="0"/>
    <w:bookmarkEnd w:id="1"/>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5F0EDE">
        <w:rPr>
          <w:sz w:val="24"/>
          <w:szCs w:val="24"/>
        </w:rPr>
        <w:t>5</w:t>
      </w:r>
      <w:r w:rsidR="00E22239">
        <w:rPr>
          <w:sz w:val="24"/>
          <w:szCs w:val="24"/>
        </w:rPr>
        <w:t>/</w:t>
      </w:r>
      <w:r w:rsidR="005F0EDE">
        <w:rPr>
          <w:sz w:val="24"/>
          <w:szCs w:val="24"/>
        </w:rPr>
        <w:t>9</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P="006614DA">
      <w:pPr>
        <w:pStyle w:val="PrimaryHeading"/>
      </w:pPr>
      <w:r>
        <w:t xml:space="preserve"> </w:t>
      </w:r>
      <w:r>
        <w:t>(</w:t>
      </w:r>
      <w:r w:rsidR="00375A27">
        <w:t>1</w:t>
      </w:r>
      <w:r>
        <w:t xml:space="preserve">:15 – </w:t>
      </w:r>
      <w:r w:rsidR="009500E6">
        <w:t>1</w:t>
      </w:r>
      <w:r>
        <w:t>:</w:t>
      </w:r>
      <w:r w:rsidR="00D07189">
        <w:t>3</w:t>
      </w:r>
      <w:r w:rsidR="00AC7678">
        <w:t>0</w:t>
      </w:r>
      <w:r>
        <w:t xml:space="preserve">) </w:t>
      </w:r>
      <w:r w:rsidR="00AC7678">
        <w:t>Review draft Problem Statement/Issue Charge for “</w:t>
      </w:r>
      <w:r w:rsidRPr="00AC7678" w:rsidR="00AC7678">
        <w:t>Alternative DR/PRD Compliance Construct for Weather Sensitive Load</w:t>
      </w:r>
      <w:r w:rsidR="00AC7678">
        <w:t>”</w:t>
      </w:r>
      <w:r>
        <w:t xml:space="preserve">  </w:t>
      </w:r>
    </w:p>
    <w:p w:rsidR="006614DA" w:rsidRPr="009500E6" w:rsidP="006614DA">
      <w:pPr>
        <w:pStyle w:val="SecondaryNumberedHeading"/>
      </w:pPr>
      <w:r>
        <w:t xml:space="preserve">Sharon </w:t>
      </w:r>
      <w:r>
        <w:t>Midgley</w:t>
      </w:r>
      <w:r>
        <w:t xml:space="preserve"> </w:t>
      </w:r>
      <w:r w:rsidR="00485E59">
        <w:t xml:space="preserve">from Exelon </w:t>
      </w:r>
      <w:r w:rsidRPr="009500E6" w:rsidR="009500E6">
        <w:t xml:space="preserve">will </w:t>
      </w:r>
      <w:r w:rsidR="00485E59">
        <w:t>review a draft Iss</w:t>
      </w:r>
      <w:r w:rsidRPr="009500E6" w:rsidR="009500E6">
        <w:t>ue Charge</w:t>
      </w:r>
      <w:r>
        <w:t xml:space="preserve"> and Problem Statement related to </w:t>
      </w:r>
      <w:r w:rsidR="00485E59">
        <w:t xml:space="preserve">a </w:t>
      </w:r>
      <w:r w:rsidR="000A6B62">
        <w:t xml:space="preserve">potential </w:t>
      </w:r>
      <w:r w:rsidR="00485E59">
        <w:t xml:space="preserve">alternative </w:t>
      </w:r>
      <w:r w:rsidR="000A6B62">
        <w:t>DR/PRD Compliance construct for weather sensitive load in the capacity market</w:t>
      </w:r>
      <w:bookmarkStart w:id="2" w:name="_GoBack"/>
      <w:bookmarkEnd w:id="2"/>
      <w:r w:rsidR="00D07189">
        <w:t>. DRS members are requested to provide input so it can be considered before the June MIC first read.</w:t>
      </w:r>
    </w:p>
    <w:p w:rsidR="00BB6C29" w:rsidRPr="00DB29E9" w:rsidP="00BB6C29">
      <w:pPr>
        <w:pStyle w:val="PrimaryHeading"/>
      </w:pPr>
      <w:r>
        <w:t>(</w:t>
      </w:r>
      <w:r w:rsidR="00AC7678">
        <w:t>1</w:t>
      </w:r>
      <w:r w:rsidR="007E2DA2">
        <w:t>:</w:t>
      </w:r>
      <w:r w:rsidR="00AC7678">
        <w:t>30</w:t>
      </w:r>
      <w:r w:rsidR="007E2DA2">
        <w:t xml:space="preserve"> </w:t>
      </w:r>
      <w:r>
        <w:t>–</w:t>
      </w:r>
      <w:r w:rsidR="00471C29">
        <w:t xml:space="preserve"> </w:t>
      </w:r>
      <w:r w:rsidR="00AC7678">
        <w:t>2</w:t>
      </w:r>
      <w:r w:rsidR="00947B00">
        <w:t>:</w:t>
      </w:r>
      <w:r w:rsidR="00AC7678">
        <w:t>00</w:t>
      </w:r>
      <w:r>
        <w:t>)</w:t>
      </w:r>
      <w:r w:rsidR="00947B00">
        <w:t xml:space="preserve"> </w:t>
      </w:r>
      <w:r w:rsidR="009500E6">
        <w:t xml:space="preserve">Critical Gas Infrastructure participation as DR in PJM markets  </w:t>
      </w:r>
      <w:r w:rsidR="00AB0DD7">
        <w:t xml:space="preserve"> </w:t>
      </w:r>
      <w:r w:rsidR="00E22239">
        <w:t xml:space="preserve"> </w:t>
      </w:r>
    </w:p>
    <w:p w:rsidR="0032216E" w:rsidRPr="009500E6" w:rsidP="009500E6">
      <w:pPr>
        <w:pStyle w:val="SecondaryNumberedHeading"/>
        <w:rPr>
          <w:b/>
        </w:rPr>
      </w:pPr>
      <w:r>
        <w:t xml:space="preserve">Jack O’Neill will </w:t>
      </w:r>
      <w:r w:rsidR="00AC7678">
        <w:t xml:space="preserve">continue </w:t>
      </w:r>
      <w:r>
        <w:t>discuss</w:t>
      </w:r>
      <w:r w:rsidR="00AC7678">
        <w:t xml:space="preserve">ion on </w:t>
      </w:r>
      <w:r>
        <w:t xml:space="preserve">proposed changes to participation rules for Critical Gas Infrastructure </w:t>
      </w:r>
      <w:r w:rsidR="00AC7678">
        <w:t>loads</w:t>
      </w:r>
      <w:r>
        <w:t>.</w:t>
      </w:r>
      <w:r w:rsidRPr="002025F4">
        <w:t xml:space="preserve"> </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p w:rsidR="009500E6" w:rsidP="009500E6">
      <w:pPr>
        <w:pStyle w:val="Author"/>
      </w:pPr>
      <w:r>
        <w:t>Author: Shane Watts</w:t>
      </w:r>
    </w:p>
    <w:p w:rsidR="009500E6" w:rsidP="009500E6">
      <w:pPr>
        <w:pStyle w:val="Author"/>
      </w:pPr>
    </w:p>
    <w:tbl>
      <w:tblPr>
        <w:tblW w:w="0" w:type="auto"/>
        <w:tblCellMar>
          <w:left w:w="0" w:type="dxa"/>
          <w:right w:w="0" w:type="dxa"/>
        </w:tblCellMar>
        <w:tblLook w:val="04A0"/>
      </w:tblPr>
      <w:tblGrid>
        <w:gridCol w:w="1201"/>
        <w:gridCol w:w="1769"/>
        <w:gridCol w:w="2970"/>
        <w:gridCol w:w="1816"/>
        <w:gridCol w:w="1529"/>
      </w:tblGrid>
      <w:tr w:rsidTr="00FF167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9500E6" w:rsidP="00FF167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color w:val="FFFFFF"/>
                <w:sz w:val="19"/>
                <w:szCs w:val="19"/>
              </w:rPr>
              <w:t>Materials Published</w:t>
            </w:r>
          </w:p>
        </w:tc>
      </w:tr>
      <w:tr w:rsidTr="00FF167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r>
      <w:tr w:rsidTr="00FF1677">
        <w:tblPrEx>
          <w:tblW w:w="0" w:type="auto"/>
          <w:tblCellMar>
            <w:left w:w="0" w:type="dxa"/>
            <w:right w:w="0" w:type="dxa"/>
          </w:tblCellMar>
          <w:tblLook w:val="04A0"/>
        </w:tblPrEx>
        <w:trPr>
          <w:trHeight w:val="331"/>
        </w:trPr>
        <w:tc>
          <w:tcPr>
            <w:tcW w:w="1201" w:type="dxa"/>
            <w:tcBorders>
              <w:top w:val="single" w:sz="4"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color w:val="auto"/>
                <w:sz w:val="18"/>
                <w:szCs w:val="18"/>
              </w:rPr>
            </w:pPr>
            <w:r>
              <w:rPr>
                <w:b w:val="0"/>
                <w:bCs/>
                <w:color w:val="auto"/>
                <w:sz w:val="18"/>
                <w:szCs w:val="18"/>
              </w:rPr>
              <w:t>6/2/2022</w:t>
            </w:r>
          </w:p>
        </w:tc>
        <w:tc>
          <w:tcPr>
            <w:tcW w:w="17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5/25/2022</w:t>
            </w:r>
          </w:p>
        </w:tc>
        <w:tc>
          <w:tcPr>
            <w:tcW w:w="15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5/30/2022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7/7/2022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6/29/2022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7/4/2022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8/2/2022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1:00 am to 4:00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7/25/2022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7/28/2022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9/2/2022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8/25/2022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8/30/2022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10/3/2022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9/23/2022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9/28/2022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11/9/2022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11/1/2022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11/4/2022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9500E6" w:rsidP="009500E6">
      <w:pPr>
        <w:pStyle w:val="Author"/>
      </w:pPr>
    </w:p>
    <w:p w:rsidR="009500E6" w:rsidRPr="00B62597" w:rsidP="009500E6">
      <w:pPr>
        <w:pStyle w:val="DisclaimerHeading"/>
      </w:pPr>
      <w:r>
        <w:t>Anti</w:t>
      </w:r>
      <w:r w:rsidRPr="00B62597">
        <w:t>trust:</w:t>
      </w:r>
    </w:p>
    <w:p w:rsidR="009500E6" w:rsidP="00BB6C29">
      <w:pPr>
        <w:pStyle w:val="DisclaimerBodyCopy"/>
      </w:pPr>
    </w:p>
    <w:p w:rsidR="009500E6" w:rsidP="00BB6C29">
      <w:pPr>
        <w:pStyle w:val="DisclaimerBodyCopy"/>
      </w:pP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A6B6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A6B62"/>
    <w:rsid w:val="000B053D"/>
    <w:rsid w:val="000D3242"/>
    <w:rsid w:val="000D688A"/>
    <w:rsid w:val="000E71C6"/>
    <w:rsid w:val="00110112"/>
    <w:rsid w:val="00137926"/>
    <w:rsid w:val="001578BE"/>
    <w:rsid w:val="001678E8"/>
    <w:rsid w:val="001A286F"/>
    <w:rsid w:val="001B2242"/>
    <w:rsid w:val="001C0CC0"/>
    <w:rsid w:val="001D3B68"/>
    <w:rsid w:val="001D4B88"/>
    <w:rsid w:val="001F24C7"/>
    <w:rsid w:val="002025F4"/>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85E5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5F0EDE"/>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00E6"/>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C7678"/>
    <w:rsid w:val="00AE7A31"/>
    <w:rsid w:val="00B04D07"/>
    <w:rsid w:val="00B07F85"/>
    <w:rsid w:val="00B16D95"/>
    <w:rsid w:val="00B20316"/>
    <w:rsid w:val="00B34E3C"/>
    <w:rsid w:val="00B62597"/>
    <w:rsid w:val="00BA6146"/>
    <w:rsid w:val="00BB531B"/>
    <w:rsid w:val="00BB6C29"/>
    <w:rsid w:val="00BD0DF7"/>
    <w:rsid w:val="00BD170F"/>
    <w:rsid w:val="00BE6C26"/>
    <w:rsid w:val="00BF331B"/>
    <w:rsid w:val="00C32A02"/>
    <w:rsid w:val="00C439EC"/>
    <w:rsid w:val="00C5307B"/>
    <w:rsid w:val="00C72168"/>
    <w:rsid w:val="00C72D6C"/>
    <w:rsid w:val="00C757F4"/>
    <w:rsid w:val="00C75A9D"/>
    <w:rsid w:val="00CA49B9"/>
    <w:rsid w:val="00CB19DE"/>
    <w:rsid w:val="00CB475B"/>
    <w:rsid w:val="00CC1B47"/>
    <w:rsid w:val="00D06EC8"/>
    <w:rsid w:val="00D07189"/>
    <w:rsid w:val="00D136EA"/>
    <w:rsid w:val="00D251ED"/>
    <w:rsid w:val="00D831E4"/>
    <w:rsid w:val="00D95949"/>
    <w:rsid w:val="00DA3C03"/>
    <w:rsid w:val="00DB29E9"/>
    <w:rsid w:val="00DE34CF"/>
    <w:rsid w:val="00DF5A39"/>
    <w:rsid w:val="00E073AE"/>
    <w:rsid w:val="00E10D12"/>
    <w:rsid w:val="00E1373D"/>
    <w:rsid w:val="00E1605D"/>
    <w:rsid w:val="00E17F16"/>
    <w:rsid w:val="00E22239"/>
    <w:rsid w:val="00E32B6B"/>
    <w:rsid w:val="00E466B1"/>
    <w:rsid w:val="00E5387A"/>
    <w:rsid w:val="00E544EF"/>
    <w:rsid w:val="00E55E84"/>
    <w:rsid w:val="00E60166"/>
    <w:rsid w:val="00EB5C09"/>
    <w:rsid w:val="00EB68B0"/>
    <w:rsid w:val="00F35B4B"/>
    <w:rsid w:val="00F4190F"/>
    <w:rsid w:val="00F744CF"/>
    <w:rsid w:val="00F757E1"/>
    <w:rsid w:val="00F817C4"/>
    <w:rsid w:val="00F9083D"/>
    <w:rsid w:val="00FB27A7"/>
    <w:rsid w:val="00FB43D1"/>
    <w:rsid w:val="00FC2B9A"/>
    <w:rsid w:val="00FF1677"/>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D227F7"/>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9500E6"/>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