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p>
    <w:p w:rsidR="00BB6C29" w:rsidRPr="00B62597" w:rsidP="00BB6C29">
      <w:pPr>
        <w:pStyle w:val="MeetingDetails"/>
      </w:pPr>
      <w:r>
        <w:t>WebEx/Conference Call</w:t>
      </w:r>
    </w:p>
    <w:p w:rsidR="00BB6C29" w:rsidRPr="00B62597" w:rsidP="00BB6C29">
      <w:pPr>
        <w:pStyle w:val="MeetingDetails"/>
      </w:pPr>
      <w:r>
        <w:t>Ju</w:t>
      </w:r>
      <w:r w:rsidR="00CD056B">
        <w:t>l</w:t>
      </w:r>
      <w:r w:rsidR="003230DC">
        <w:t xml:space="preserve"> </w:t>
      </w:r>
      <w:r w:rsidR="00CD056B">
        <w:t>7</w:t>
      </w:r>
      <w:r w:rsidR="00F757E1">
        <w:t>,</w:t>
      </w:r>
      <w:r>
        <w:t xml:space="preserve"> 202</w:t>
      </w:r>
      <w:r w:rsidR="00375A27">
        <w:t>2</w:t>
      </w:r>
    </w:p>
    <w:p w:rsidR="00BB6C29" w:rsidRPr="00B62597" w:rsidP="00BB6C29">
      <w:pPr>
        <w:pStyle w:val="MeetingDetails"/>
        <w:rPr>
          <w:sz w:val="28"/>
          <w:u w:val="single"/>
        </w:rPr>
      </w:pPr>
      <w:r>
        <w:t>1:</w:t>
      </w:r>
      <w:r>
        <w:t xml:space="preserve">00 </w:t>
      </w:r>
      <w:r w:rsidR="00870317">
        <w:t>p</w:t>
      </w:r>
      <w:r w:rsidR="00393D0C">
        <w:t>m</w:t>
      </w:r>
      <w:r>
        <w:t xml:space="preserve"> – </w:t>
      </w:r>
      <w:r w:rsidR="001D6226">
        <w:t>2</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0" w:name="OLE_LINK5"/>
      <w:bookmarkStart w:id="1" w:name="OLE_LINK3"/>
      <w:r w:rsidRPr="00527104">
        <w:t>Adm</w:t>
      </w:r>
      <w:r w:rsidRPr="007C2954">
        <w:t>inistrati</w:t>
      </w:r>
      <w:r w:rsidRPr="00527104">
        <w:t>on (</w:t>
      </w:r>
      <w:r w:rsidR="00375A27">
        <w:t>1</w:t>
      </w:r>
      <w:r w:rsidRPr="00527104">
        <w:t>:00</w:t>
      </w:r>
      <w:r>
        <w:t xml:space="preserve"> </w:t>
      </w:r>
      <w:r w:rsidRPr="00527104">
        <w:t>-</w:t>
      </w:r>
      <w:r w:rsidR="00056387">
        <w:t xml:space="preserve"> </w:t>
      </w:r>
      <w:r w:rsidR="00375A27">
        <w:t>1</w:t>
      </w:r>
      <w:r w:rsidRPr="00527104">
        <w:t>:</w:t>
      </w:r>
      <w:r>
        <w:t>1</w:t>
      </w:r>
      <w:r w:rsidR="00471C29">
        <w:t>5</w:t>
      </w:r>
      <w:r w:rsidRPr="00527104">
        <w:t>)</w:t>
      </w:r>
    </w:p>
    <w:bookmarkEnd w:id="0"/>
    <w:bookmarkEnd w:id="1"/>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CD056B">
        <w:rPr>
          <w:sz w:val="24"/>
          <w:szCs w:val="24"/>
        </w:rPr>
        <w:t>6</w:t>
      </w:r>
      <w:r w:rsidR="00E22239">
        <w:rPr>
          <w:sz w:val="24"/>
          <w:szCs w:val="24"/>
        </w:rPr>
        <w:t>/</w:t>
      </w:r>
      <w:r w:rsidR="00E96093">
        <w:rPr>
          <w:sz w:val="24"/>
          <w:szCs w:val="24"/>
        </w:rPr>
        <w:t>2</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P="006614DA">
      <w:pPr>
        <w:pStyle w:val="PrimaryHeading"/>
      </w:pPr>
      <w:r>
        <w:t xml:space="preserve"> </w:t>
      </w:r>
      <w:r>
        <w:t>(</w:t>
      </w:r>
      <w:r w:rsidR="00375A27">
        <w:t>1</w:t>
      </w:r>
      <w:r>
        <w:t xml:space="preserve">:15 – </w:t>
      </w:r>
      <w:r w:rsidR="009500E6">
        <w:t>1</w:t>
      </w:r>
      <w:r>
        <w:t>:</w:t>
      </w:r>
      <w:r w:rsidR="001D6226">
        <w:t>20</w:t>
      </w:r>
      <w:r>
        <w:t xml:space="preserve">) </w:t>
      </w:r>
      <w:r w:rsidR="001D6226">
        <w:t>PJM encryption change that impact DR Hub</w:t>
      </w:r>
      <w:r>
        <w:t xml:space="preserve">  </w:t>
      </w:r>
    </w:p>
    <w:p w:rsidR="006614DA" w:rsidRPr="009500E6" w:rsidP="006614DA">
      <w:pPr>
        <w:pStyle w:val="SecondaryNumberedHeading"/>
      </w:pPr>
      <w:r>
        <w:t>Andrea Yeaton will provide a friendly reminder regarding the update PJM encryption policy</w:t>
      </w:r>
      <w:r w:rsidR="00D07189">
        <w:t>.</w:t>
      </w:r>
      <w:r>
        <w:t xml:space="preserve"> If you represent a member that utilizes DR Hub please make sure your IT team reviews the attached slides.</w:t>
      </w:r>
    </w:p>
    <w:p w:rsidR="00BB6C29" w:rsidRPr="00DB29E9" w:rsidP="00BB6C29">
      <w:pPr>
        <w:pStyle w:val="PrimaryHeading"/>
      </w:pPr>
      <w:r>
        <w:t>(</w:t>
      </w:r>
      <w:r w:rsidR="00AC7678">
        <w:t>1</w:t>
      </w:r>
      <w:r w:rsidR="007E2DA2">
        <w:t>:</w:t>
      </w:r>
      <w:r w:rsidR="001D6226">
        <w:t>2</w:t>
      </w:r>
      <w:r w:rsidR="00AC7678">
        <w:t>0</w:t>
      </w:r>
      <w:r w:rsidR="007E2DA2">
        <w:t xml:space="preserve"> </w:t>
      </w:r>
      <w:r>
        <w:t>–</w:t>
      </w:r>
      <w:r w:rsidR="00471C29">
        <w:t xml:space="preserve"> </w:t>
      </w:r>
      <w:r w:rsidR="00AC7678">
        <w:t>2</w:t>
      </w:r>
      <w:r w:rsidR="00947B00">
        <w:t>:</w:t>
      </w:r>
      <w:r w:rsidR="00AC7678">
        <w:t>00</w:t>
      </w:r>
      <w:r>
        <w:t>)</w:t>
      </w:r>
      <w:r w:rsidR="00947B00">
        <w:t xml:space="preserve"> </w:t>
      </w:r>
      <w:r w:rsidR="008C2BC0">
        <w:t>Load Management Events in AEP_MARION Load Management Subzone</w:t>
      </w:r>
      <w:r w:rsidR="009500E6">
        <w:t xml:space="preserve">  </w:t>
      </w:r>
      <w:r w:rsidR="00AB0DD7">
        <w:t xml:space="preserve"> </w:t>
      </w:r>
      <w:r w:rsidR="00E22239">
        <w:t xml:space="preserve"> </w:t>
      </w:r>
    </w:p>
    <w:p w:rsidR="0032216E" w:rsidRPr="009500E6" w:rsidP="009500E6">
      <w:pPr>
        <w:pStyle w:val="SecondaryNumberedHeading"/>
        <w:rPr>
          <w:b/>
        </w:rPr>
      </w:pPr>
      <w:r>
        <w:t xml:space="preserve">Jack O’Neill will </w:t>
      </w:r>
      <w:r w:rsidR="008C2BC0">
        <w:t>discuss the recent Load Management Events in AEP_MARION subzone</w:t>
      </w:r>
      <w:r w:rsidR="001D6226">
        <w:t xml:space="preserve"> and upcoming deadlines </w:t>
      </w:r>
      <w:bookmarkStart w:id="2" w:name="_GoBack"/>
      <w:bookmarkEnd w:id="2"/>
      <w:r w:rsidR="001D6226">
        <w:t>for submission of compliance and energy settlement information.</w:t>
      </w:r>
      <w:r w:rsidRPr="002025F4">
        <w:t xml:space="preserve"> </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p w:rsidR="009500E6" w:rsidP="009500E6">
      <w:pPr>
        <w:pStyle w:val="Author"/>
      </w:pPr>
      <w:r>
        <w:t>Author: Shane Watts</w:t>
      </w:r>
    </w:p>
    <w:p w:rsidR="009500E6" w:rsidP="009500E6">
      <w:pPr>
        <w:pStyle w:val="Author"/>
      </w:pPr>
    </w:p>
    <w:tbl>
      <w:tblPr>
        <w:tblW w:w="0" w:type="auto"/>
        <w:tblCellMar>
          <w:left w:w="0" w:type="dxa"/>
          <w:right w:w="0" w:type="dxa"/>
        </w:tblCellMar>
        <w:tblLook w:val="04A0"/>
      </w:tblPr>
      <w:tblGrid>
        <w:gridCol w:w="1201"/>
        <w:gridCol w:w="1769"/>
        <w:gridCol w:w="2970"/>
        <w:gridCol w:w="1816"/>
        <w:gridCol w:w="1529"/>
      </w:tblGrid>
      <w:tr w:rsidTr="00FF167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9500E6" w:rsidP="00FF167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9500E6" w:rsidP="00FF1677">
            <w:pPr>
              <w:pStyle w:val="DisclaimerHeading"/>
              <w:spacing w:before="40" w:after="40"/>
              <w:jc w:val="center"/>
              <w:rPr>
                <w:color w:val="FFFFFF"/>
                <w:sz w:val="19"/>
                <w:szCs w:val="19"/>
              </w:rPr>
            </w:pPr>
            <w:r>
              <w:rPr>
                <w:color w:val="FFFFFF"/>
                <w:sz w:val="19"/>
                <w:szCs w:val="19"/>
              </w:rPr>
              <w:t>Materials Published</w:t>
            </w:r>
          </w:p>
        </w:tc>
      </w:tr>
      <w:tr w:rsidTr="00FF167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9500E6" w:rsidP="00FF167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9500E6" w:rsidP="00FF1677">
            <w:pPr>
              <w:spacing w:after="0" w:line="240" w:lineRule="auto"/>
              <w:rPr>
                <w:rFonts w:ascii="Arial Narrow" w:eastAsia="Times New Roman" w:hAnsi="Arial Narrow"/>
                <w:b/>
                <w:bCs/>
                <w:color w:val="FFFFFF"/>
                <w:sz w:val="19"/>
                <w:szCs w:val="19"/>
              </w:rPr>
            </w:pP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8/2/2022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1:00 am to 4:00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7/25/2022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7/28/2022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9/2/2022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8/25/2022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8/30/2022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10/3/2022</w:t>
            </w:r>
          </w:p>
        </w:tc>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9/23/2022</w:t>
            </w:r>
          </w:p>
        </w:tc>
        <w:tc>
          <w:tcPr>
            <w:tcW w:w="1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9/28/2022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11/9/2022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color w:val="auto"/>
                <w:sz w:val="18"/>
                <w:szCs w:val="18"/>
              </w:rPr>
            </w:pPr>
            <w:r>
              <w:rPr>
                <w:b w:val="0"/>
                <w:bCs/>
                <w:color w:val="auto"/>
                <w:sz w:val="18"/>
                <w:szCs w:val="18"/>
              </w:rPr>
              <w:t>11/1/2022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11/4/2022</w:t>
            </w:r>
          </w:p>
        </w:tc>
      </w:tr>
      <w:tr w:rsidTr="00FF167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00E6" w:rsidP="00FF167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9500E6" w:rsidP="009500E6">
      <w:pPr>
        <w:pStyle w:val="Author"/>
      </w:pPr>
    </w:p>
    <w:p w:rsidR="009500E6" w:rsidRPr="00B62597" w:rsidP="009500E6">
      <w:pPr>
        <w:pStyle w:val="DisclaimerHeading"/>
      </w:pPr>
      <w:r>
        <w:t>Anti</w:t>
      </w:r>
      <w:r w:rsidRPr="00B62597">
        <w:t>trust:</w:t>
      </w:r>
    </w:p>
    <w:p w:rsidR="009500E6" w:rsidP="00BB6C29">
      <w:pPr>
        <w:pStyle w:val="DisclaimerBodyCopy"/>
      </w:pPr>
    </w:p>
    <w:p w:rsidR="009500E6" w:rsidP="00BB6C29">
      <w:pPr>
        <w:pStyle w:val="DisclaimerBodyCopy"/>
      </w:pP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7F1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A6B62"/>
    <w:rsid w:val="000B053D"/>
    <w:rsid w:val="000D3242"/>
    <w:rsid w:val="000D688A"/>
    <w:rsid w:val="000E71C6"/>
    <w:rsid w:val="00110112"/>
    <w:rsid w:val="00137926"/>
    <w:rsid w:val="00137968"/>
    <w:rsid w:val="001578BE"/>
    <w:rsid w:val="001678E8"/>
    <w:rsid w:val="001A286F"/>
    <w:rsid w:val="001B2242"/>
    <w:rsid w:val="001C0CC0"/>
    <w:rsid w:val="001D3B68"/>
    <w:rsid w:val="001D4B88"/>
    <w:rsid w:val="001D6226"/>
    <w:rsid w:val="001F24C7"/>
    <w:rsid w:val="002025F4"/>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85E5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5F0EDE"/>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C2BC0"/>
    <w:rsid w:val="008E7E28"/>
    <w:rsid w:val="008F2D81"/>
    <w:rsid w:val="00917386"/>
    <w:rsid w:val="00944083"/>
    <w:rsid w:val="00947B00"/>
    <w:rsid w:val="009500E6"/>
    <w:rsid w:val="009553D8"/>
    <w:rsid w:val="00967E94"/>
    <w:rsid w:val="009757F8"/>
    <w:rsid w:val="00991528"/>
    <w:rsid w:val="009A5430"/>
    <w:rsid w:val="009C15C4"/>
    <w:rsid w:val="009D31E2"/>
    <w:rsid w:val="009F53F9"/>
    <w:rsid w:val="00A05391"/>
    <w:rsid w:val="00A17075"/>
    <w:rsid w:val="00A228A1"/>
    <w:rsid w:val="00A317A9"/>
    <w:rsid w:val="00A41149"/>
    <w:rsid w:val="00A57F16"/>
    <w:rsid w:val="00A90C56"/>
    <w:rsid w:val="00AB0DD7"/>
    <w:rsid w:val="00AC2247"/>
    <w:rsid w:val="00AC7678"/>
    <w:rsid w:val="00AE7A31"/>
    <w:rsid w:val="00B04D07"/>
    <w:rsid w:val="00B07F85"/>
    <w:rsid w:val="00B16D95"/>
    <w:rsid w:val="00B20316"/>
    <w:rsid w:val="00B34E3C"/>
    <w:rsid w:val="00B62597"/>
    <w:rsid w:val="00BA6146"/>
    <w:rsid w:val="00BB531B"/>
    <w:rsid w:val="00BB6C29"/>
    <w:rsid w:val="00BD0DF7"/>
    <w:rsid w:val="00BD170F"/>
    <w:rsid w:val="00BE6C26"/>
    <w:rsid w:val="00BF331B"/>
    <w:rsid w:val="00C32A02"/>
    <w:rsid w:val="00C439EC"/>
    <w:rsid w:val="00C5307B"/>
    <w:rsid w:val="00C72168"/>
    <w:rsid w:val="00C72D6C"/>
    <w:rsid w:val="00C757F4"/>
    <w:rsid w:val="00C75A9D"/>
    <w:rsid w:val="00CA49B9"/>
    <w:rsid w:val="00CB19DE"/>
    <w:rsid w:val="00CB475B"/>
    <w:rsid w:val="00CC1B47"/>
    <w:rsid w:val="00CD056B"/>
    <w:rsid w:val="00D06EC8"/>
    <w:rsid w:val="00D07189"/>
    <w:rsid w:val="00D136EA"/>
    <w:rsid w:val="00D251ED"/>
    <w:rsid w:val="00D831E4"/>
    <w:rsid w:val="00D95949"/>
    <w:rsid w:val="00DA3C03"/>
    <w:rsid w:val="00DB29E9"/>
    <w:rsid w:val="00DE34CF"/>
    <w:rsid w:val="00DF5A39"/>
    <w:rsid w:val="00E073AE"/>
    <w:rsid w:val="00E10D12"/>
    <w:rsid w:val="00E1373D"/>
    <w:rsid w:val="00E1605D"/>
    <w:rsid w:val="00E17F16"/>
    <w:rsid w:val="00E22239"/>
    <w:rsid w:val="00E32B6B"/>
    <w:rsid w:val="00E466B1"/>
    <w:rsid w:val="00E5387A"/>
    <w:rsid w:val="00E544EF"/>
    <w:rsid w:val="00E55E84"/>
    <w:rsid w:val="00E60166"/>
    <w:rsid w:val="00E96093"/>
    <w:rsid w:val="00EB5C09"/>
    <w:rsid w:val="00EB68B0"/>
    <w:rsid w:val="00F35B4B"/>
    <w:rsid w:val="00F4190F"/>
    <w:rsid w:val="00F744CF"/>
    <w:rsid w:val="00F757E1"/>
    <w:rsid w:val="00F817C4"/>
    <w:rsid w:val="00F9083D"/>
    <w:rsid w:val="00FB27A7"/>
    <w:rsid w:val="00FB43D1"/>
    <w:rsid w:val="00FC2B9A"/>
    <w:rsid w:val="00FF1677"/>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8963F1"/>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9500E6"/>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