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r w:rsidR="00050151">
        <w:t xml:space="preserve">        </w:t>
      </w:r>
      <w:bookmarkStart w:id="0" w:name="_GoBack"/>
      <w:bookmarkEnd w:id="0"/>
    </w:p>
    <w:p w:rsidR="00BB6C29" w:rsidRPr="00B62597" w:rsidP="00BB6C29">
      <w:pPr>
        <w:pStyle w:val="MeetingDetails"/>
      </w:pPr>
      <w:r>
        <w:t>WebEx/Conference Call</w:t>
      </w:r>
    </w:p>
    <w:p w:rsidR="00BB6C29" w:rsidRPr="00B62597" w:rsidP="00BB6C29">
      <w:pPr>
        <w:pStyle w:val="MeetingDetails"/>
      </w:pPr>
      <w:r>
        <w:t>Sep</w:t>
      </w:r>
      <w:r w:rsidR="003230DC">
        <w:t xml:space="preserve"> </w:t>
      </w:r>
      <w:r w:rsidR="00942197">
        <w:t>2</w:t>
      </w:r>
      <w:r w:rsidR="00F757E1">
        <w:t>,</w:t>
      </w:r>
      <w:r>
        <w:t xml:space="preserve"> 202</w:t>
      </w:r>
      <w:r w:rsidR="00375A27">
        <w:t>2</w:t>
      </w:r>
    </w:p>
    <w:p w:rsidR="00BB6C29" w:rsidRPr="00B62597" w:rsidP="00BB6C29">
      <w:pPr>
        <w:pStyle w:val="MeetingDetails"/>
        <w:rPr>
          <w:sz w:val="28"/>
          <w:u w:val="single"/>
        </w:rPr>
      </w:pPr>
      <w:r>
        <w:t>9</w:t>
      </w:r>
      <w:r w:rsidR="00375A27">
        <w:t>:</w:t>
      </w:r>
      <w:r>
        <w:t xml:space="preserve">00 </w:t>
      </w:r>
      <w:r>
        <w:t>a</w:t>
      </w:r>
      <w:r w:rsidR="00393D0C">
        <w:t>m</w:t>
      </w:r>
      <w:r>
        <w:t xml:space="preserve"> – </w:t>
      </w:r>
      <w:r>
        <w:t>1</w:t>
      </w:r>
      <w:r w:rsidR="00D313FC">
        <w:t>2</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6D1248">
        <w:t>9</w:t>
      </w:r>
      <w:r w:rsidRPr="00527104">
        <w:t>:00</w:t>
      </w:r>
      <w:r>
        <w:t xml:space="preserve"> </w:t>
      </w:r>
      <w:r w:rsidRPr="00527104">
        <w:t>-</w:t>
      </w:r>
      <w:r w:rsidR="00056387">
        <w:t xml:space="preserve"> </w:t>
      </w:r>
      <w:r w:rsidR="006D1248">
        <w:t>9</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6D1248">
        <w:rPr>
          <w:sz w:val="24"/>
          <w:szCs w:val="24"/>
        </w:rPr>
        <w:t>8</w:t>
      </w:r>
      <w:r w:rsidR="00E22239">
        <w:rPr>
          <w:sz w:val="24"/>
          <w:szCs w:val="24"/>
        </w:rPr>
        <w:t>/</w:t>
      </w:r>
      <w:r w:rsidR="006D1248">
        <w:rPr>
          <w:sz w:val="24"/>
          <w:szCs w:val="24"/>
        </w:rPr>
        <w:t>2</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E45849" w:rsidP="00C32A02">
      <w:pPr>
        <w:pStyle w:val="ListedItem"/>
        <w:rPr>
          <w:sz w:val="24"/>
          <w:szCs w:val="24"/>
        </w:rPr>
      </w:pPr>
      <w:r>
        <w:rPr>
          <w:sz w:val="24"/>
          <w:szCs w:val="24"/>
        </w:rPr>
        <w:t>Training for DR participation in the updated reserve markets is scheduled for 9/13/22</w:t>
      </w:r>
    </w:p>
    <w:p w:rsidR="006614DA" w:rsidRPr="00DB29E9" w:rsidP="006614DA">
      <w:pPr>
        <w:pStyle w:val="PrimaryHeading"/>
      </w:pPr>
      <w:r>
        <w:t xml:space="preserve"> </w:t>
      </w:r>
      <w:r>
        <w:t>(</w:t>
      </w:r>
      <w:r w:rsidR="006D1248">
        <w:t>9</w:t>
      </w:r>
      <w:r>
        <w:t xml:space="preserve">:15 – </w:t>
      </w:r>
      <w:r w:rsidR="00E45849">
        <w:t>9</w:t>
      </w:r>
      <w:r>
        <w:t>:</w:t>
      </w:r>
      <w:r w:rsidR="00E45849">
        <w:t>3</w:t>
      </w:r>
      <w:r w:rsidR="00D313FC">
        <w:t>0</w:t>
      </w:r>
      <w:r>
        <w:t xml:space="preserve">)  </w:t>
      </w:r>
      <w:r w:rsidR="00BB4F19">
        <w:t xml:space="preserve">Consolidation of </w:t>
      </w:r>
      <w:r w:rsidR="00BB4F19">
        <w:t>DRS &amp;</w:t>
      </w:r>
      <w:r w:rsidR="00BB4F19">
        <w:t xml:space="preserve"> DIRS</w:t>
      </w:r>
    </w:p>
    <w:p w:rsidR="00A448AB" w:rsidP="00A448AB">
      <w:pPr>
        <w:pStyle w:val="SecondaryNumberedHeading"/>
      </w:pPr>
      <w:r>
        <w:t>Pete Langbein will discuss plan to consolidate the DRS and DIRS into one subcommittee.</w:t>
      </w:r>
    </w:p>
    <w:p w:rsidR="00A448AB" w:rsidP="00A448AB">
      <w:pPr>
        <w:pStyle w:val="PrimaryHeading"/>
      </w:pPr>
      <w:r>
        <w:t xml:space="preserve"> </w:t>
      </w:r>
      <w:r>
        <w:t>(</w:t>
      </w:r>
      <w:r>
        <w:t>9</w:t>
      </w:r>
      <w:r>
        <w:t>:</w:t>
      </w:r>
      <w:r>
        <w:t>30</w:t>
      </w:r>
      <w:r>
        <w:t xml:space="preserve"> – </w:t>
      </w:r>
      <w:r>
        <w:t>9</w:t>
      </w:r>
      <w:r>
        <w:t>:</w:t>
      </w:r>
      <w:r>
        <w:t>40</w:t>
      </w:r>
      <w:r>
        <w:t xml:space="preserve">) </w:t>
      </w:r>
      <w:r>
        <w:t>Critical Natural Gas Infrastructure Governing Documents and Manual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592F8C" w:rsidP="00592F8C">
            <w:pPr>
              <w:pStyle w:val="SecondaryNumberedHeading"/>
            </w:pPr>
            <w:r>
              <w:t>Jack O’Neill will provide a brief summary of changes that are posted for the 9/7 MIC first read.</w:t>
            </w:r>
            <w:r w:rsidR="007D613B">
              <w:t xml:space="preserve"> Please see MIC for red lined documents.</w:t>
            </w:r>
          </w:p>
          <w:p w:rsidR="00F56160" w:rsidP="00F56160">
            <w:pPr>
              <w:pStyle w:val="PrimaryHeading"/>
            </w:pPr>
            <w:r>
              <w:t xml:space="preserve"> </w:t>
            </w:r>
            <w:r>
              <w:t>(9:40 – 10:10) Review PJM draft protocol for Home Area Network (HAN) devices</w:t>
            </w:r>
          </w:p>
          <w:p w:rsidR="00F56160" w:rsidRPr="00D313FC" w:rsidP="00F56160">
            <w:pPr>
              <w:pStyle w:val="SecondaryNumberedHeading"/>
            </w:pPr>
            <w:r>
              <w:t>Jim McAnany will discuss the draft protocol for use of HAN devices where KYZ pulse information is not available.</w:t>
            </w:r>
          </w:p>
          <w:p w:rsidR="00F56160" w:rsidP="00F56160">
            <w:pPr>
              <w:pStyle w:val="PrimaryHeading"/>
            </w:pPr>
            <w:r>
              <w:t>(10:10 – 10:30) On-site Generator cost used for Economic DR energy settlements</w:t>
            </w:r>
          </w:p>
          <w:p w:rsidR="00F56160" w:rsidRPr="00D313FC" w:rsidP="00F56160">
            <w:pPr>
              <w:pStyle w:val="SecondaryNumberedHeading"/>
            </w:pPr>
            <w:r>
              <w:t>Pete Langbein and Masha Nyemko will discuss clarification regarding marginal cost used to evaluate Economic DR energy settlements.</w:t>
            </w:r>
          </w:p>
          <w:p w:rsidR="00E45849" w:rsidP="00E45849">
            <w:pPr>
              <w:pStyle w:val="SecondaryNumberedHeading"/>
              <w:numPr>
                <w:ilvl w:val="0"/>
                <w:numId w:val="0"/>
              </w:numPr>
              <w:ind w:left="360" w:hanging="360"/>
            </w:pPr>
          </w:p>
          <w:p w:rsidR="00F56160" w:rsidP="00F56160">
            <w:pPr>
              <w:pStyle w:val="PrimaryHeading"/>
            </w:pPr>
            <w:r>
              <w:t>(10:30 – 10:40) BREAK</w:t>
            </w:r>
          </w:p>
          <w:p w:rsidR="00F56160" w:rsidP="00E45849">
            <w:pPr>
              <w:pStyle w:val="SecondaryNumberedHeading"/>
              <w:numPr>
                <w:ilvl w:val="0"/>
                <w:numId w:val="0"/>
              </w:numPr>
              <w:ind w:left="360" w:hanging="360"/>
            </w:pPr>
          </w:p>
          <w:p w:rsidR="00E45849" w:rsidP="00E45849">
            <w:pPr>
              <w:pStyle w:val="PrimaryHeading"/>
            </w:pPr>
            <w:r>
              <w:t>(</w:t>
            </w:r>
            <w:r w:rsidR="00832C1E">
              <w:t>10</w:t>
            </w:r>
            <w:r>
              <w:t>:</w:t>
            </w:r>
            <w:r w:rsidR="00F56160">
              <w:t>40</w:t>
            </w:r>
            <w:r>
              <w:t xml:space="preserve"> – </w:t>
            </w:r>
            <w:r w:rsidR="00832C1E">
              <w:t>1</w:t>
            </w:r>
            <w:r w:rsidR="00F56160">
              <w:t>2</w:t>
            </w:r>
            <w:r>
              <w:t>:</w:t>
            </w:r>
            <w:r w:rsidR="00F56160">
              <w:t>00</w:t>
            </w:r>
            <w:r>
              <w:t xml:space="preserve">) </w:t>
            </w:r>
            <w:r w:rsidR="00832C1E">
              <w:t>Education for Problem Statement to e</w:t>
            </w:r>
            <w:r w:rsidRPr="00832C1E" w:rsidR="00832C1E">
              <w:t>xplore alternative FSL capacity compliance M&amp;V for weather sensitive load for DR/PRD</w:t>
            </w:r>
          </w:p>
          <w:p w:rsidR="00E45849" w:rsidP="00E45849">
            <w:pPr>
              <w:pStyle w:val="SecondaryNumberedHeading"/>
              <w:spacing w:after="200"/>
            </w:pPr>
            <w:r>
              <w:t>Start</w:t>
            </w:r>
            <w:r>
              <w:t xml:space="preserve"> education process regarding the approved problem statement</w:t>
            </w:r>
            <w:r w:rsidR="00832C1E">
              <w:t>/issue charge on capacity compliance calculations for weather sensitive load.</w:t>
            </w:r>
          </w:p>
          <w:p w:rsidR="00432660" w:rsidP="00432660">
            <w:pPr>
              <w:pStyle w:val="SecondaryNumberedHeading"/>
              <w:numPr>
                <w:ilvl w:val="0"/>
                <w:numId w:val="0"/>
              </w:numPr>
              <w:spacing w:after="200"/>
              <w:ind w:left="360"/>
            </w:pPr>
            <w:r>
              <w:t>A) David Bloom will provide background on the problem statement and issue charge</w:t>
            </w:r>
          </w:p>
          <w:p w:rsidR="00432660" w:rsidP="00432660">
            <w:pPr>
              <w:pStyle w:val="SecondaryNumberedHeading"/>
              <w:numPr>
                <w:ilvl w:val="0"/>
                <w:numId w:val="0"/>
              </w:numPr>
              <w:spacing w:after="200"/>
              <w:ind w:left="360"/>
            </w:pPr>
            <w:r>
              <w:t>B) Pete Langbein will go through prior stakeholder efforts and current capacity compliance M&amp;V protocol.</w:t>
            </w:r>
          </w:p>
          <w:p w:rsidR="00E45849" w:rsidP="00E45849">
            <w:pPr>
              <w:pStyle w:val="SecondaryNumberedHeading"/>
              <w:numPr>
                <w:ilvl w:val="0"/>
                <w:numId w:val="0"/>
              </w:numPr>
              <w:ind w:left="360" w:hanging="360"/>
            </w:pPr>
          </w:p>
          <w:p w:rsidR="00BB6C29" w:rsidP="00110112">
            <w:pPr>
              <w:pStyle w:val="PrimaryHeading"/>
              <w:ind w:left="-109"/>
            </w:pPr>
            <w:r>
              <w:t xml:space="preserve">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p w:rsidR="009500E6" w:rsidP="009500E6">
      <w:pPr>
        <w:pStyle w:val="Author"/>
      </w:pPr>
      <w:r>
        <w:t>Author: Shane Watts</w:t>
      </w:r>
    </w:p>
    <w:p w:rsidR="009500E6" w:rsidP="009500E6">
      <w:pPr>
        <w:pStyle w:val="Author"/>
      </w:pPr>
    </w:p>
    <w:tbl>
      <w:tblPr>
        <w:tblW w:w="0" w:type="auto"/>
        <w:tblCellMar>
          <w:left w:w="0" w:type="dxa"/>
          <w:right w:w="0" w:type="dxa"/>
        </w:tblCellMar>
        <w:tblLook w:val="04A0"/>
      </w:tblPr>
      <w:tblGrid>
        <w:gridCol w:w="1201"/>
        <w:gridCol w:w="1769"/>
        <w:gridCol w:w="2970"/>
        <w:gridCol w:w="1816"/>
        <w:gridCol w:w="1529"/>
      </w:tblGrid>
      <w:tr w:rsidTr="00FF167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9500E6" w:rsidP="00FF167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color w:val="FFFFFF"/>
                <w:sz w:val="19"/>
                <w:szCs w:val="19"/>
              </w:rPr>
              <w:t>Materials Published</w:t>
            </w:r>
          </w:p>
        </w:tc>
      </w:tr>
      <w:tr w:rsidTr="00FF167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10/3/2022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9/23/2022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9/28/2022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11/9/2022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11/1/2022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11/4/2022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9500E6" w:rsidP="009500E6">
      <w:pPr>
        <w:pStyle w:val="Author"/>
      </w:pPr>
    </w:p>
    <w:p w:rsidR="009500E6" w:rsidRPr="00B62597" w:rsidP="009500E6">
      <w:pPr>
        <w:pStyle w:val="DisclaimerHeading"/>
      </w:pPr>
      <w:r>
        <w:t>Anti</w:t>
      </w:r>
      <w:r w:rsidRPr="00B62597">
        <w:t>trust:</w:t>
      </w:r>
    </w:p>
    <w:p w:rsidR="009500E6" w:rsidP="00BB6C29">
      <w:pPr>
        <w:pStyle w:val="DisclaimerBodyCopy"/>
      </w:pPr>
    </w:p>
    <w:p w:rsidR="009500E6" w:rsidP="00BB6C29">
      <w:pPr>
        <w:pStyle w:val="DisclaimerBodyCopy"/>
      </w:pP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592F8C">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4022">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0151"/>
    <w:rsid w:val="00056387"/>
    <w:rsid w:val="0006385E"/>
    <w:rsid w:val="00066234"/>
    <w:rsid w:val="0008212E"/>
    <w:rsid w:val="00092135"/>
    <w:rsid w:val="000A6B62"/>
    <w:rsid w:val="000B053D"/>
    <w:rsid w:val="000D3242"/>
    <w:rsid w:val="000D688A"/>
    <w:rsid w:val="000E71C6"/>
    <w:rsid w:val="00110112"/>
    <w:rsid w:val="00137926"/>
    <w:rsid w:val="00137968"/>
    <w:rsid w:val="001578BE"/>
    <w:rsid w:val="001678E8"/>
    <w:rsid w:val="0018011B"/>
    <w:rsid w:val="001A286F"/>
    <w:rsid w:val="001B2242"/>
    <w:rsid w:val="001C0CC0"/>
    <w:rsid w:val="001D3B68"/>
    <w:rsid w:val="001D4B88"/>
    <w:rsid w:val="001D6226"/>
    <w:rsid w:val="001F24C7"/>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32660"/>
    <w:rsid w:val="0046043F"/>
    <w:rsid w:val="00465417"/>
    <w:rsid w:val="004710EE"/>
    <w:rsid w:val="00471C29"/>
    <w:rsid w:val="00485E59"/>
    <w:rsid w:val="00491490"/>
    <w:rsid w:val="00494494"/>
    <w:rsid w:val="004969FA"/>
    <w:rsid w:val="004B6ABE"/>
    <w:rsid w:val="004E55C6"/>
    <w:rsid w:val="004F3D8F"/>
    <w:rsid w:val="00513397"/>
    <w:rsid w:val="00527104"/>
    <w:rsid w:val="00544835"/>
    <w:rsid w:val="00556582"/>
    <w:rsid w:val="00564DEE"/>
    <w:rsid w:val="0057441E"/>
    <w:rsid w:val="00592F8C"/>
    <w:rsid w:val="005A5D0D"/>
    <w:rsid w:val="005D6D05"/>
    <w:rsid w:val="005E7161"/>
    <w:rsid w:val="005F0EDE"/>
    <w:rsid w:val="006024A0"/>
    <w:rsid w:val="00602967"/>
    <w:rsid w:val="00606F11"/>
    <w:rsid w:val="0062437D"/>
    <w:rsid w:val="006614DA"/>
    <w:rsid w:val="006D1248"/>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D613B"/>
    <w:rsid w:val="007E2DA2"/>
    <w:rsid w:val="007E7CAB"/>
    <w:rsid w:val="00832C1E"/>
    <w:rsid w:val="00837B12"/>
    <w:rsid w:val="00841282"/>
    <w:rsid w:val="008552A3"/>
    <w:rsid w:val="00870317"/>
    <w:rsid w:val="00882652"/>
    <w:rsid w:val="00893A06"/>
    <w:rsid w:val="008C2BC0"/>
    <w:rsid w:val="008E7E28"/>
    <w:rsid w:val="008F2D81"/>
    <w:rsid w:val="00917386"/>
    <w:rsid w:val="00942197"/>
    <w:rsid w:val="00944083"/>
    <w:rsid w:val="00947B00"/>
    <w:rsid w:val="009500E6"/>
    <w:rsid w:val="009553D8"/>
    <w:rsid w:val="00967E94"/>
    <w:rsid w:val="009757F8"/>
    <w:rsid w:val="00991528"/>
    <w:rsid w:val="009A5430"/>
    <w:rsid w:val="009C15C4"/>
    <w:rsid w:val="009D31E2"/>
    <w:rsid w:val="009F53F9"/>
    <w:rsid w:val="00A05391"/>
    <w:rsid w:val="00A17075"/>
    <w:rsid w:val="00A228A1"/>
    <w:rsid w:val="00A317A9"/>
    <w:rsid w:val="00A402E9"/>
    <w:rsid w:val="00A41149"/>
    <w:rsid w:val="00A448AB"/>
    <w:rsid w:val="00A57F16"/>
    <w:rsid w:val="00A90C56"/>
    <w:rsid w:val="00AB0DD7"/>
    <w:rsid w:val="00AC2247"/>
    <w:rsid w:val="00AC7678"/>
    <w:rsid w:val="00AE7A31"/>
    <w:rsid w:val="00B04D07"/>
    <w:rsid w:val="00B07F85"/>
    <w:rsid w:val="00B16D95"/>
    <w:rsid w:val="00B20316"/>
    <w:rsid w:val="00B34E3C"/>
    <w:rsid w:val="00B62597"/>
    <w:rsid w:val="00BA6146"/>
    <w:rsid w:val="00BB4F19"/>
    <w:rsid w:val="00BB531B"/>
    <w:rsid w:val="00BB6C29"/>
    <w:rsid w:val="00BD0DF7"/>
    <w:rsid w:val="00BD170F"/>
    <w:rsid w:val="00BE6C26"/>
    <w:rsid w:val="00BF331B"/>
    <w:rsid w:val="00C32A02"/>
    <w:rsid w:val="00C439EC"/>
    <w:rsid w:val="00C5307B"/>
    <w:rsid w:val="00C57407"/>
    <w:rsid w:val="00C72168"/>
    <w:rsid w:val="00C72D6C"/>
    <w:rsid w:val="00C757F4"/>
    <w:rsid w:val="00C75A9D"/>
    <w:rsid w:val="00CA49B9"/>
    <w:rsid w:val="00CB19DE"/>
    <w:rsid w:val="00CB475B"/>
    <w:rsid w:val="00CB5D01"/>
    <w:rsid w:val="00CC1B47"/>
    <w:rsid w:val="00CD056B"/>
    <w:rsid w:val="00D06EC8"/>
    <w:rsid w:val="00D07189"/>
    <w:rsid w:val="00D136EA"/>
    <w:rsid w:val="00D251ED"/>
    <w:rsid w:val="00D313FC"/>
    <w:rsid w:val="00D831E4"/>
    <w:rsid w:val="00D84022"/>
    <w:rsid w:val="00D95949"/>
    <w:rsid w:val="00DA3C03"/>
    <w:rsid w:val="00DA464C"/>
    <w:rsid w:val="00DB29E9"/>
    <w:rsid w:val="00DE34CF"/>
    <w:rsid w:val="00DF5A39"/>
    <w:rsid w:val="00E073AE"/>
    <w:rsid w:val="00E10D12"/>
    <w:rsid w:val="00E1373D"/>
    <w:rsid w:val="00E1605D"/>
    <w:rsid w:val="00E17F16"/>
    <w:rsid w:val="00E22239"/>
    <w:rsid w:val="00E32B6B"/>
    <w:rsid w:val="00E45849"/>
    <w:rsid w:val="00E466B1"/>
    <w:rsid w:val="00E5387A"/>
    <w:rsid w:val="00E544EF"/>
    <w:rsid w:val="00E55E84"/>
    <w:rsid w:val="00E60166"/>
    <w:rsid w:val="00E96093"/>
    <w:rsid w:val="00EB5C09"/>
    <w:rsid w:val="00EB68B0"/>
    <w:rsid w:val="00F35B4B"/>
    <w:rsid w:val="00F4190F"/>
    <w:rsid w:val="00F56160"/>
    <w:rsid w:val="00F6715E"/>
    <w:rsid w:val="00F744CF"/>
    <w:rsid w:val="00F757E1"/>
    <w:rsid w:val="00F817C4"/>
    <w:rsid w:val="00F9083D"/>
    <w:rsid w:val="00FB27A7"/>
    <w:rsid w:val="00FB43D1"/>
    <w:rsid w:val="00FC2B9A"/>
    <w:rsid w:val="00FF1677"/>
    <w:rsid w:val="00FF3EDF"/>
    <w:rsid w:val="00FF76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5BDDA0"/>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9500E6"/>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