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pPr>
        <w:pStyle w:val="MeetingDetails"/>
      </w:pPr>
      <w:r>
        <w:t>Market Settlements Subcommittee</w:t>
      </w:r>
    </w:p>
    <w:p w:rsidR="00B62597" w:rsidRPr="00B62597" w:rsidP="00755096">
      <w:pPr>
        <w:pStyle w:val="MeetingDetails"/>
      </w:pPr>
      <w:r>
        <w:t>Conference Call</w:t>
      </w:r>
    </w:p>
    <w:p w:rsidR="00B62597" w:rsidRPr="00B62597" w:rsidP="00755096">
      <w:pPr>
        <w:pStyle w:val="MeetingDetails"/>
      </w:pPr>
      <w:r>
        <w:t>June 12</w:t>
      </w:r>
      <w:r w:rsidR="00837E78">
        <w:t>,</w:t>
      </w:r>
      <w:r w:rsidR="002B2F98">
        <w:t xml:space="preserve"> </w:t>
      </w:r>
      <w:r w:rsidR="00EB12FF">
        <w:t>2023</w:t>
      </w:r>
      <w:r w:rsidR="006558DF">
        <w:t xml:space="preserve"> (canceled)</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t>Informational updates</w:t>
      </w:r>
      <w:bookmarkStart w:id="2" w:name="_GoBack"/>
      <w:bookmarkEnd w:id="2"/>
    </w:p>
    <w:bookmarkEnd w:id="0"/>
    <w:bookmarkEnd w:id="1"/>
    <w:p w:rsidR="00BD5A85" w:rsidP="000C3968">
      <w:pPr>
        <w:pStyle w:val="SecondaryHeading-Numbered"/>
        <w:numPr>
          <w:ilvl w:val="0"/>
          <w:numId w:val="16"/>
        </w:numPr>
      </w:pPr>
      <w:r>
        <w:t>Settlement Updates and Implementations effective June 1, 2023</w:t>
      </w:r>
    </w:p>
    <w:p w:rsidR="00BD5A85" w:rsidP="00BD5A85">
      <w:pPr>
        <w:pStyle w:val="SecondaryHeading-Numbered"/>
        <w:numPr>
          <w:ilvl w:val="0"/>
          <w:numId w:val="0"/>
        </w:numPr>
        <w:ind w:left="720"/>
        <w:rPr>
          <w:b w:val="0"/>
        </w:rPr>
      </w:pPr>
      <w:r w:rsidRPr="00BD5A85">
        <w:rPr>
          <w:b w:val="0"/>
        </w:rPr>
        <w:t>Please review the below presentation for details on settlement updates and implementations that are effective starting June 1, 2023.</w:t>
      </w:r>
    </w:p>
    <w:p w:rsidR="0023126D" w:rsidRPr="00BD5A85" w:rsidP="00BD5A85">
      <w:pPr>
        <w:pStyle w:val="SecondaryHeading-Numbered"/>
        <w:numPr>
          <w:ilvl w:val="0"/>
          <w:numId w:val="0"/>
        </w:numPr>
        <w:ind w:left="720"/>
        <w:rPr>
          <w:b w:val="0"/>
        </w:rPr>
      </w:pPr>
      <w:hyperlink r:id="rId4" w:history="1">
        <w:r w:rsidRPr="00F275E3">
          <w:rPr>
            <w:rStyle w:val="Hyperlink"/>
            <w:b w:val="0"/>
          </w:rPr>
          <w:t>Settlement Updates June 1 2023</w:t>
        </w:r>
      </w:hyperlink>
    </w:p>
    <w:p w:rsidR="000C3968" w:rsidP="000C3968">
      <w:pPr>
        <w:pStyle w:val="SecondaryHeading-Numbered"/>
        <w:numPr>
          <w:ilvl w:val="0"/>
          <w:numId w:val="16"/>
        </w:numPr>
      </w:pPr>
      <w:r>
        <w:t>2022 Schedule 12 DFAX Allocation Corrections</w:t>
      </w:r>
    </w:p>
    <w:p w:rsidR="00BD5A85" w:rsidRPr="00BD5A85" w:rsidP="00BD5A85">
      <w:pPr>
        <w:pStyle w:val="SecondaryHeading-Numbered"/>
        <w:numPr>
          <w:ilvl w:val="0"/>
          <w:numId w:val="0"/>
        </w:numPr>
        <w:ind w:left="720"/>
        <w:rPr>
          <w:b w:val="0"/>
        </w:rPr>
      </w:pPr>
      <w:r w:rsidRPr="00BD5A85">
        <w:rPr>
          <w:b w:val="0"/>
        </w:rPr>
        <w:t>Pursuant to May 15, 2023 Order in Docket No: ER23-1399</w:t>
      </w:r>
      <w:r w:rsidR="00F275E3">
        <w:rPr>
          <w:b w:val="0"/>
        </w:rPr>
        <w:t>,</w:t>
      </w:r>
      <w:r w:rsidRPr="00BD5A85">
        <w:rPr>
          <w:b w:val="0"/>
        </w:rPr>
        <w:t xml:space="preserve"> PJM will be processing Transmission Enhancement Charge billing adjustments.  PJM will post a Transmission Enhancement Worksheet reflecting the projects affected by the 2022 allocation corrections effective January 1, 2022 on PJM.com by Friday, June 16.  Billing adjustments will be reflected in the June 2023 monthly bill issued on July 10, 2023.</w:t>
      </w:r>
    </w:p>
    <w:p w:rsidR="000C3968" w:rsidP="006558DF">
      <w:pPr>
        <w:pStyle w:val="SecondaryHeading-Numbered"/>
        <w:numPr>
          <w:ilvl w:val="0"/>
          <w:numId w:val="16"/>
        </w:numPr>
      </w:pPr>
      <w:r>
        <w:t>Removal of MSET Group email</w:t>
      </w:r>
    </w:p>
    <w:p w:rsidR="00BD5A85" w:rsidP="00BD5A85">
      <w:pPr>
        <w:pStyle w:val="SecondaryHeading-Numbered"/>
        <w:numPr>
          <w:ilvl w:val="0"/>
          <w:numId w:val="0"/>
        </w:numPr>
        <w:ind w:left="720"/>
        <w:rPr>
          <w:b w:val="0"/>
        </w:rPr>
      </w:pPr>
      <w:r w:rsidRPr="00BD5A85">
        <w:rPr>
          <w:b w:val="0"/>
        </w:rPr>
        <w:t>Please review the below presentation for details on updates to contact information for PJM’s Market Settlements department.</w:t>
      </w:r>
    </w:p>
    <w:p w:rsidR="0023126D" w:rsidRPr="00BD5A85" w:rsidP="00BD5A85">
      <w:pPr>
        <w:pStyle w:val="SecondaryHeading-Numbered"/>
        <w:numPr>
          <w:ilvl w:val="0"/>
          <w:numId w:val="0"/>
        </w:numPr>
        <w:ind w:left="720"/>
        <w:rPr>
          <w:b w:val="0"/>
        </w:rPr>
      </w:pPr>
      <w:hyperlink r:id="rId5" w:history="1">
        <w:r w:rsidRPr="00F275E3">
          <w:rPr>
            <w:rStyle w:val="Hyperlink"/>
            <w:b w:val="0"/>
          </w:rPr>
          <w:t>Market Settlements Contact Information</w:t>
        </w:r>
      </w:hyperlink>
    </w:p>
    <w:p w:rsidR="000C3968" w:rsidRPr="00B313DF" w:rsidP="00B313DF">
      <w:pPr>
        <w:pStyle w:val="SecondaryHeading-Numbered"/>
        <w:numPr>
          <w:ilvl w:val="0"/>
          <w:numId w:val="16"/>
        </w:numPr>
        <w:rPr>
          <w:strike/>
        </w:rPr>
      </w:pPr>
      <w:r>
        <w:t xml:space="preserve">Links and Supporting Information </w:t>
      </w:r>
      <w:r w:rsidR="00B313DF">
        <w:t>for the continued billing of Winter Storm Elliott</w:t>
      </w:r>
      <w:r>
        <w:t xml:space="preserve"> PAIs</w:t>
      </w:r>
    </w:p>
    <w:p w:rsidR="00B313DF" w:rsidP="00B313DF">
      <w:pPr>
        <w:pStyle w:val="SecondaryHeading-Numbered"/>
        <w:numPr>
          <w:ilvl w:val="0"/>
          <w:numId w:val="0"/>
        </w:numPr>
        <w:ind w:left="720"/>
        <w:rPr>
          <w:b w:val="0"/>
        </w:rPr>
      </w:pPr>
      <w:r>
        <w:rPr>
          <w:b w:val="0"/>
        </w:rPr>
        <w:t>The below links provide additional information in support of the continued monthly settlement distributions related to the Winter Storm Elliott PAI events.</w:t>
      </w:r>
    </w:p>
    <w:p w:rsidR="00B313DF" w:rsidP="00B313DF">
      <w:pPr>
        <w:pStyle w:val="SecondaryHeading-Numbered"/>
        <w:numPr>
          <w:ilvl w:val="0"/>
          <w:numId w:val="0"/>
        </w:numPr>
        <w:ind w:left="720"/>
        <w:rPr>
          <w:b w:val="0"/>
        </w:rPr>
      </w:pPr>
      <w:hyperlink r:id="rId6" w:history="1">
        <w:r w:rsidRPr="00B313DF">
          <w:rPr>
            <w:rStyle w:val="Hyperlink"/>
            <w:b w:val="0"/>
          </w:rPr>
          <w:t>Monthly Non-Performance Assessment Charges</w:t>
        </w:r>
      </w:hyperlink>
    </w:p>
    <w:p w:rsidR="00B313DF" w:rsidP="00B313DF">
      <w:pPr>
        <w:pStyle w:val="SecondaryHeading-Numbered"/>
        <w:numPr>
          <w:ilvl w:val="0"/>
          <w:numId w:val="0"/>
        </w:numPr>
        <w:ind w:left="720"/>
        <w:rPr>
          <w:b w:val="0"/>
        </w:rPr>
      </w:pPr>
      <w:hyperlink r:id="rId7" w:history="1">
        <w:r w:rsidRPr="00B313DF">
          <w:rPr>
            <w:rStyle w:val="Hyperlink"/>
            <w:b w:val="0"/>
          </w:rPr>
          <w:t>May Risk Management Committee PAI Settlements</w:t>
        </w:r>
      </w:hyperlink>
    </w:p>
    <w:p w:rsidR="00B313DF" w:rsidRPr="00B313DF" w:rsidP="00B313DF">
      <w:pPr>
        <w:pStyle w:val="SecondaryHeading-Numbered"/>
        <w:numPr>
          <w:ilvl w:val="0"/>
          <w:numId w:val="0"/>
        </w:numPr>
        <w:ind w:left="720"/>
        <w:rPr>
          <w:b w:val="0"/>
          <w:strike/>
        </w:rPr>
      </w:pPr>
      <w:hyperlink r:id="rId8" w:history="1">
        <w:r w:rsidRPr="00B313DF">
          <w:rPr>
            <w:rStyle w:val="Hyperlink"/>
            <w:b w:val="0"/>
          </w:rPr>
          <w:t xml:space="preserve">May Initial Vs Final </w:t>
        </w:r>
        <w:r>
          <w:rPr>
            <w:rStyle w:val="Hyperlink"/>
            <w:b w:val="0"/>
          </w:rPr>
          <w:t xml:space="preserve">Bonus </w:t>
        </w:r>
        <w:r w:rsidRPr="00B313DF">
          <w:rPr>
            <w:rStyle w:val="Hyperlink"/>
            <w:b w:val="0"/>
          </w:rPr>
          <w:t>Holdback and Cumulative Billing</w:t>
        </w:r>
      </w:hyperlink>
      <w:r>
        <w:rPr>
          <w:b w:val="0"/>
        </w:rPr>
        <w:t xml:space="preserve"> </w:t>
      </w:r>
    </w:p>
    <w:p w:rsidR="006558DF" w:rsidRPr="006C5A36" w:rsidP="006558DF">
      <w:pPr>
        <w:pStyle w:val="SecondaryHeading-Numbered"/>
        <w:numPr>
          <w:ilvl w:val="0"/>
          <w:numId w:val="16"/>
        </w:numPr>
      </w:pPr>
      <w:r>
        <w:t>Settlement C Tracking</w:t>
      </w:r>
    </w:p>
    <w:p w:rsidR="006C5A36" w:rsidP="006C5A36">
      <w:pPr>
        <w:pStyle w:val="ListParagraph"/>
        <w:rPr>
          <w:rFonts w:ascii="Arial Narrow" w:hAnsi="Arial Narrow" w:cs="Calibri"/>
        </w:rPr>
      </w:pPr>
      <w:r>
        <w:rPr>
          <w:rFonts w:ascii="Arial Narrow" w:hAnsi="Arial Narrow" w:cs="Calibri"/>
        </w:rPr>
        <w:t>No adjustme</w:t>
      </w:r>
      <w:r w:rsidR="00BE0503">
        <w:rPr>
          <w:rFonts w:ascii="Arial Narrow" w:hAnsi="Arial Narrow" w:cs="Calibri"/>
        </w:rPr>
        <w:t xml:space="preserve">nts were processed in the </w:t>
      </w:r>
      <w:r w:rsidR="00BD5A85">
        <w:rPr>
          <w:rFonts w:ascii="Arial Narrow" w:hAnsi="Arial Narrow" w:cs="Calibri"/>
        </w:rPr>
        <w:t>May</w:t>
      </w:r>
      <w:r>
        <w:rPr>
          <w:rFonts w:ascii="Arial Narrow" w:hAnsi="Arial Narrow" w:cs="Calibri"/>
        </w:rPr>
        <w:t xml:space="preserve"> 2023 billing cycle.</w:t>
      </w:r>
    </w:p>
    <w:p w:rsidR="00340EE4" w:rsidRPr="006C5A36" w:rsidP="006C5A36">
      <w:pPr>
        <w:pStyle w:val="SecondaryHeading-Numbered"/>
        <w:numPr>
          <w:ilvl w:val="0"/>
          <w:numId w:val="0"/>
        </w:numPr>
        <w:ind w:left="720"/>
        <w:rPr>
          <w:b w:val="0"/>
        </w:rPr>
      </w:pPr>
      <w:hyperlink r:id="rId9" w:history="1">
        <w:r w:rsidR="00001E30">
          <w:rPr>
            <w:rStyle w:val="Hyperlink"/>
            <w:b w:val="0"/>
          </w:rPr>
          <w:t>2023</w:t>
        </w:r>
        <w:r w:rsidRPr="002D7B41" w:rsidR="002D7B41">
          <w:rPr>
            <w:rStyle w:val="Hyperlink"/>
            <w:b w:val="0"/>
          </w:rPr>
          <w:t xml:space="preserve"> Settlement C Tracking</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5"/>
        <w:gridCol w:w="3110"/>
        <w:gridCol w:w="3125"/>
      </w:tblGrid>
      <w:tr w:rsidTr="00296AA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7"/>
        </w:trPr>
        <w:tc>
          <w:tcPr>
            <w:tcW w:w="9350" w:type="dxa"/>
            <w:gridSpan w:val="3"/>
          </w:tcPr>
          <w:p w:rsidR="00BB531B" w:rsidP="00AC2247">
            <w:pPr>
              <w:pStyle w:val="PrimaryHeading"/>
              <w:ind w:left="-108"/>
            </w:pPr>
            <w:r>
              <w:t>Future Meeting Dates</w:t>
            </w:r>
          </w:p>
        </w:tc>
      </w:tr>
      <w:tr w:rsidTr="00296AAA">
        <w:tblPrEx>
          <w:tblW w:w="0" w:type="auto"/>
          <w:tblLook w:val="04A0"/>
        </w:tblPrEx>
        <w:tc>
          <w:tcPr>
            <w:tcW w:w="3115" w:type="dxa"/>
          </w:tcPr>
          <w:p w:rsidR="00E87A39" w:rsidP="00296AAA">
            <w:pPr>
              <w:pStyle w:val="NormalWeb"/>
              <w:spacing w:before="0" w:beforeAutospacing="0" w:after="0" w:afterAutospacing="0"/>
              <w:rPr>
                <w:rFonts w:ascii="Arial Narrow" w:hAnsi="Arial Narrow"/>
                <w:sz w:val="18"/>
                <w:szCs w:val="18"/>
              </w:rPr>
            </w:pPr>
            <w:r>
              <w:rPr>
                <w:rFonts w:ascii="Arial Narrow" w:hAnsi="Arial Narrow"/>
                <w:sz w:val="18"/>
                <w:szCs w:val="18"/>
              </w:rPr>
              <w:t>July 17, 2023</w:t>
            </w:r>
          </w:p>
        </w:tc>
        <w:tc>
          <w:tcPr>
            <w:tcW w:w="3110" w:type="dxa"/>
          </w:tcPr>
          <w:p w:rsidR="00E87A39" w:rsidP="00296AAA">
            <w:pPr>
              <w:pStyle w:val="NormalWeb"/>
              <w:spacing w:before="0" w:beforeAutospacing="0" w:after="0" w:afterAutospacing="0"/>
              <w:rPr>
                <w:rFonts w:ascii="Arial Narrow" w:hAnsi="Arial Narrow"/>
                <w:sz w:val="18"/>
                <w:szCs w:val="18"/>
              </w:rPr>
            </w:pPr>
            <w:r>
              <w:rPr>
                <w:rFonts w:ascii="Arial Narrow" w:hAnsi="Arial Narrow"/>
                <w:sz w:val="18"/>
                <w:szCs w:val="18"/>
              </w:rPr>
              <w:t>1:00 p.m. – 2:30 p.m.</w:t>
            </w:r>
          </w:p>
        </w:tc>
        <w:tc>
          <w:tcPr>
            <w:tcW w:w="3125" w:type="dxa"/>
          </w:tcPr>
          <w:p w:rsidR="00E87A39" w:rsidP="00296AAA">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Tr="00296AAA">
        <w:tblPrEx>
          <w:tblW w:w="0" w:type="auto"/>
          <w:tblLook w:val="04A0"/>
        </w:tblPrEx>
        <w:tc>
          <w:tcPr>
            <w:tcW w:w="3115" w:type="dxa"/>
          </w:tcPr>
          <w:p w:rsidR="00E87A39" w:rsidP="00296AAA">
            <w:pPr>
              <w:pStyle w:val="NormalWeb"/>
              <w:spacing w:before="0" w:beforeAutospacing="0" w:after="0" w:afterAutospacing="0"/>
              <w:rPr>
                <w:rFonts w:ascii="Arial Narrow" w:hAnsi="Arial Narrow"/>
                <w:sz w:val="18"/>
                <w:szCs w:val="18"/>
              </w:rPr>
            </w:pPr>
            <w:r>
              <w:rPr>
                <w:rFonts w:ascii="Arial Narrow" w:hAnsi="Arial Narrow"/>
                <w:sz w:val="18"/>
                <w:szCs w:val="18"/>
              </w:rPr>
              <w:t>August 14, 2023</w:t>
            </w:r>
          </w:p>
        </w:tc>
        <w:tc>
          <w:tcPr>
            <w:tcW w:w="3110" w:type="dxa"/>
          </w:tcPr>
          <w:p w:rsidR="00E87A39" w:rsidP="00296AAA">
            <w:pPr>
              <w:pStyle w:val="NormalWeb"/>
              <w:spacing w:before="0" w:beforeAutospacing="0" w:after="0" w:afterAutospacing="0"/>
              <w:rPr>
                <w:rFonts w:ascii="Arial Narrow" w:hAnsi="Arial Narrow"/>
                <w:sz w:val="18"/>
                <w:szCs w:val="18"/>
              </w:rPr>
            </w:pPr>
            <w:r>
              <w:rPr>
                <w:rFonts w:ascii="Arial Narrow" w:hAnsi="Arial Narrow"/>
                <w:sz w:val="18"/>
                <w:szCs w:val="18"/>
              </w:rPr>
              <w:t>1:00 p.m. – 2:30 p.m.</w:t>
            </w:r>
          </w:p>
        </w:tc>
        <w:tc>
          <w:tcPr>
            <w:tcW w:w="3125" w:type="dxa"/>
          </w:tcPr>
          <w:p w:rsidR="00E87A39" w:rsidP="00296AAA">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Tr="00296AAA">
        <w:tblPrEx>
          <w:tblW w:w="0" w:type="auto"/>
          <w:tblLook w:val="04A0"/>
        </w:tblPrEx>
        <w:tc>
          <w:tcPr>
            <w:tcW w:w="3115" w:type="dxa"/>
          </w:tcPr>
          <w:p w:rsidR="00E87A39" w:rsidP="00296AAA">
            <w:pPr>
              <w:pStyle w:val="NormalWeb"/>
              <w:spacing w:before="0" w:beforeAutospacing="0" w:after="0" w:afterAutospacing="0"/>
              <w:rPr>
                <w:rFonts w:ascii="Arial Narrow" w:hAnsi="Arial Narrow"/>
                <w:sz w:val="18"/>
                <w:szCs w:val="18"/>
              </w:rPr>
            </w:pPr>
            <w:r>
              <w:rPr>
                <w:rFonts w:ascii="Arial Narrow" w:hAnsi="Arial Narrow"/>
                <w:sz w:val="18"/>
                <w:szCs w:val="18"/>
              </w:rPr>
              <w:t>September 11, 2023</w:t>
            </w:r>
          </w:p>
        </w:tc>
        <w:tc>
          <w:tcPr>
            <w:tcW w:w="3110" w:type="dxa"/>
          </w:tcPr>
          <w:p w:rsidR="00E87A39" w:rsidP="00296AAA">
            <w:pPr>
              <w:pStyle w:val="NormalWeb"/>
              <w:spacing w:before="0" w:beforeAutospacing="0" w:after="0" w:afterAutospacing="0"/>
              <w:rPr>
                <w:rFonts w:ascii="Arial Narrow" w:hAnsi="Arial Narrow"/>
                <w:sz w:val="18"/>
                <w:szCs w:val="18"/>
              </w:rPr>
            </w:pPr>
            <w:r>
              <w:rPr>
                <w:rFonts w:ascii="Arial Narrow" w:hAnsi="Arial Narrow"/>
                <w:sz w:val="18"/>
                <w:szCs w:val="18"/>
              </w:rPr>
              <w:t>1:00 p.m. – 2:30 p.m.</w:t>
            </w:r>
          </w:p>
        </w:tc>
        <w:tc>
          <w:tcPr>
            <w:tcW w:w="3125" w:type="dxa"/>
          </w:tcPr>
          <w:p w:rsidR="00E87A39" w:rsidP="00296AAA">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Tr="00296AAA">
        <w:tblPrEx>
          <w:tblW w:w="0" w:type="auto"/>
          <w:tblLook w:val="04A0"/>
        </w:tblPrEx>
        <w:tc>
          <w:tcPr>
            <w:tcW w:w="3115" w:type="dxa"/>
          </w:tcPr>
          <w:p w:rsidR="00296AAA" w:rsidP="00296AAA">
            <w:pPr>
              <w:pStyle w:val="NormalWeb"/>
              <w:spacing w:before="0" w:beforeAutospacing="0" w:after="0" w:afterAutospacing="0"/>
              <w:rPr>
                <w:rFonts w:ascii="Arial Narrow" w:hAnsi="Arial Narrow"/>
                <w:sz w:val="18"/>
                <w:szCs w:val="18"/>
              </w:rPr>
            </w:pPr>
          </w:p>
        </w:tc>
        <w:tc>
          <w:tcPr>
            <w:tcW w:w="3110" w:type="dxa"/>
          </w:tcPr>
          <w:p w:rsidR="00296AAA" w:rsidP="00296AAA">
            <w:pPr>
              <w:pStyle w:val="NormalWeb"/>
              <w:spacing w:before="0" w:beforeAutospacing="0" w:after="0" w:afterAutospacing="0"/>
              <w:rPr>
                <w:rFonts w:ascii="Arial Narrow" w:hAnsi="Arial Narrow"/>
                <w:sz w:val="18"/>
                <w:szCs w:val="18"/>
              </w:rPr>
            </w:pPr>
          </w:p>
        </w:tc>
        <w:tc>
          <w:tcPr>
            <w:tcW w:w="3125" w:type="dxa"/>
          </w:tcPr>
          <w:p w:rsidR="00296AAA" w:rsidP="00296AAA">
            <w:pPr>
              <w:pStyle w:val="NormalWeb"/>
              <w:spacing w:before="0" w:beforeAutospacing="0" w:after="0" w:afterAutospacing="0"/>
              <w:rPr>
                <w:rFonts w:ascii="Arial Narrow" w:hAnsi="Arial Narrow"/>
                <w:sz w:val="18"/>
                <w:szCs w:val="18"/>
              </w:rPr>
            </w:pPr>
          </w:p>
        </w:tc>
      </w:tr>
      <w:tr w:rsidTr="00296AAA">
        <w:tblPrEx>
          <w:tblW w:w="0" w:type="auto"/>
          <w:tblLook w:val="04A0"/>
        </w:tblPrEx>
        <w:tc>
          <w:tcPr>
            <w:tcW w:w="3115" w:type="dxa"/>
          </w:tcPr>
          <w:p w:rsidR="00296AAA" w:rsidP="00296AAA">
            <w:pPr>
              <w:pStyle w:val="NormalWeb"/>
              <w:spacing w:before="0" w:beforeAutospacing="0" w:after="0" w:afterAutospacing="0"/>
              <w:rPr>
                <w:rFonts w:ascii="Arial Narrow" w:hAnsi="Arial Narrow"/>
                <w:sz w:val="18"/>
                <w:szCs w:val="18"/>
              </w:rPr>
            </w:pPr>
          </w:p>
        </w:tc>
        <w:tc>
          <w:tcPr>
            <w:tcW w:w="3110" w:type="dxa"/>
          </w:tcPr>
          <w:p w:rsidR="00296AAA" w:rsidP="00296AAA">
            <w:pPr>
              <w:pStyle w:val="NormalWeb"/>
              <w:spacing w:before="0" w:beforeAutospacing="0" w:after="0" w:afterAutospacing="0"/>
              <w:rPr>
                <w:rFonts w:ascii="Arial Narrow" w:hAnsi="Arial Narrow"/>
                <w:sz w:val="18"/>
                <w:szCs w:val="18"/>
              </w:rPr>
            </w:pPr>
          </w:p>
        </w:tc>
        <w:tc>
          <w:tcPr>
            <w:tcW w:w="3125" w:type="dxa"/>
          </w:tcPr>
          <w:p w:rsidR="00296AAA" w:rsidP="00296AAA">
            <w:pPr>
              <w:pStyle w:val="NormalWeb"/>
              <w:spacing w:before="0" w:beforeAutospacing="0" w:after="0" w:afterAutospacing="0"/>
              <w:rPr>
                <w:rFonts w:ascii="Arial Narrow" w:hAnsi="Arial Narrow"/>
                <w:sz w:val="18"/>
                <w:szCs w:val="18"/>
              </w:rPr>
            </w:pPr>
          </w:p>
        </w:tc>
      </w:tr>
      <w:tr w:rsidTr="00296AAA">
        <w:tblPrEx>
          <w:tblW w:w="0" w:type="auto"/>
          <w:tblLook w:val="04A0"/>
        </w:tblPrEx>
        <w:tc>
          <w:tcPr>
            <w:tcW w:w="3115" w:type="dxa"/>
          </w:tcPr>
          <w:p w:rsidR="00296AAA" w:rsidP="00296AAA">
            <w:pPr>
              <w:pStyle w:val="NormalWeb"/>
              <w:spacing w:before="0" w:beforeAutospacing="0" w:after="0" w:afterAutospacing="0"/>
              <w:rPr>
                <w:rFonts w:ascii="Arial Narrow" w:hAnsi="Arial Narrow"/>
                <w:sz w:val="18"/>
                <w:szCs w:val="18"/>
              </w:rPr>
            </w:pPr>
          </w:p>
        </w:tc>
        <w:tc>
          <w:tcPr>
            <w:tcW w:w="3110" w:type="dxa"/>
          </w:tcPr>
          <w:p w:rsidR="00296AAA" w:rsidP="00296AAA">
            <w:pPr>
              <w:pStyle w:val="NormalWeb"/>
              <w:spacing w:before="0" w:beforeAutospacing="0" w:after="0" w:afterAutospacing="0"/>
              <w:rPr>
                <w:rFonts w:ascii="Arial Narrow" w:hAnsi="Arial Narrow"/>
                <w:sz w:val="18"/>
                <w:szCs w:val="18"/>
              </w:rPr>
            </w:pPr>
          </w:p>
        </w:tc>
        <w:tc>
          <w:tcPr>
            <w:tcW w:w="3125" w:type="dxa"/>
          </w:tcPr>
          <w:p w:rsidR="00296AAA" w:rsidP="00296AAA">
            <w:pPr>
              <w:pStyle w:val="NormalWeb"/>
              <w:spacing w:before="0" w:beforeAutospacing="0" w:after="0" w:afterAutospacing="0"/>
              <w:rPr>
                <w:rFonts w:ascii="Arial Narrow" w:hAnsi="Arial Narrow"/>
                <w:sz w:val="18"/>
                <w:szCs w:val="18"/>
              </w:rPr>
            </w:pPr>
          </w:p>
        </w:tc>
      </w:tr>
      <w:tr w:rsidTr="00296AAA">
        <w:tblPrEx>
          <w:tblW w:w="0" w:type="auto"/>
          <w:tblLook w:val="04A0"/>
        </w:tblPrEx>
        <w:tc>
          <w:tcPr>
            <w:tcW w:w="3115" w:type="dxa"/>
          </w:tcPr>
          <w:p w:rsidR="00296AAA" w:rsidP="00296AAA">
            <w:pPr>
              <w:pStyle w:val="NormalWeb"/>
              <w:spacing w:before="0" w:beforeAutospacing="0" w:after="0" w:afterAutospacing="0"/>
              <w:rPr>
                <w:rFonts w:ascii="Arial Narrow" w:hAnsi="Arial Narrow"/>
                <w:sz w:val="18"/>
                <w:szCs w:val="18"/>
              </w:rPr>
            </w:pPr>
          </w:p>
        </w:tc>
        <w:tc>
          <w:tcPr>
            <w:tcW w:w="3110" w:type="dxa"/>
          </w:tcPr>
          <w:p w:rsidR="00296AAA" w:rsidP="00296AAA">
            <w:pPr>
              <w:pStyle w:val="NormalWeb"/>
              <w:spacing w:before="0" w:beforeAutospacing="0" w:after="0" w:afterAutospacing="0"/>
              <w:rPr>
                <w:rFonts w:ascii="Arial Narrow" w:hAnsi="Arial Narrow"/>
                <w:sz w:val="18"/>
                <w:szCs w:val="18"/>
              </w:rPr>
            </w:pPr>
          </w:p>
        </w:tc>
        <w:tc>
          <w:tcPr>
            <w:tcW w:w="3125" w:type="dxa"/>
          </w:tcPr>
          <w:p w:rsidR="00296AAA" w:rsidP="00296AAA">
            <w:pPr>
              <w:pStyle w:val="NormalWeb"/>
              <w:spacing w:before="0" w:beforeAutospacing="0" w:after="0" w:afterAutospacing="0"/>
              <w:rPr>
                <w:rFonts w:ascii="Arial Narrow" w:hAnsi="Arial Narrow"/>
                <w:sz w:val="18"/>
                <w:szCs w:val="18"/>
              </w:rPr>
            </w:pPr>
          </w:p>
        </w:tc>
      </w:tr>
      <w:tr w:rsidTr="00296AAA">
        <w:tblPrEx>
          <w:tblW w:w="0" w:type="auto"/>
          <w:tblLook w:val="04A0"/>
        </w:tblPrEx>
        <w:tc>
          <w:tcPr>
            <w:tcW w:w="3115" w:type="dxa"/>
          </w:tcPr>
          <w:p w:rsidR="00296AAA" w:rsidP="00296AAA">
            <w:pPr>
              <w:pStyle w:val="NormalWeb"/>
              <w:spacing w:before="0" w:beforeAutospacing="0" w:after="0" w:afterAutospacing="0"/>
              <w:rPr>
                <w:rFonts w:ascii="Arial Narrow" w:hAnsi="Arial Narrow"/>
                <w:sz w:val="18"/>
                <w:szCs w:val="18"/>
              </w:rPr>
            </w:pPr>
          </w:p>
        </w:tc>
        <w:tc>
          <w:tcPr>
            <w:tcW w:w="3110" w:type="dxa"/>
          </w:tcPr>
          <w:p w:rsidR="00296AAA" w:rsidP="00296AAA">
            <w:pPr>
              <w:pStyle w:val="NormalWeb"/>
              <w:spacing w:before="0" w:beforeAutospacing="0" w:after="0" w:afterAutospacing="0"/>
              <w:rPr>
                <w:rFonts w:ascii="Arial Narrow" w:hAnsi="Arial Narrow"/>
                <w:sz w:val="18"/>
                <w:szCs w:val="18"/>
              </w:rPr>
            </w:pPr>
          </w:p>
        </w:tc>
        <w:tc>
          <w:tcPr>
            <w:tcW w:w="3125" w:type="dxa"/>
          </w:tcPr>
          <w:p w:rsidR="00296AAA" w:rsidP="00296AAA">
            <w:pPr>
              <w:pStyle w:val="NormalWeb"/>
              <w:spacing w:before="0" w:beforeAutospacing="0" w:after="0" w:afterAutospacing="0"/>
              <w:rPr>
                <w:rFonts w:ascii="Arial Narrow" w:hAnsi="Arial Narrow"/>
                <w:sz w:val="18"/>
                <w:szCs w:val="18"/>
              </w:rPr>
            </w:pPr>
          </w:p>
        </w:tc>
      </w:tr>
    </w:tbl>
    <w:p w:rsidR="00726147" w:rsidP="00337321">
      <w:pPr>
        <w:pStyle w:val="Author"/>
      </w:pPr>
    </w:p>
    <w:p w:rsidR="00726147" w:rsidP="00FC4406">
      <w:pPr>
        <w:pStyle w:val="Author"/>
      </w:pPr>
      <w:r>
        <w:t xml:space="preserve">Author: </w:t>
      </w:r>
      <w:r w:rsidR="006E4ECD">
        <w:t>Sean Flamm</w:t>
      </w:r>
    </w:p>
    <w:p w:rsidR="003C12B2" w:rsidP="00DB29E9">
      <w:pPr>
        <w:pStyle w:val="DisclaimerHeading"/>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Participant Identification in WebEx:</w:t>
      </w:r>
    </w:p>
    <w:p w:rsidR="00027F49" w:rsidP="00027F49">
      <w:pPr>
        <w:pStyle w:val="DisclaimerBodyCopy"/>
      </w:pPr>
      <w:r>
        <w:t>When logging into the WebEx desktop client, please enter your real first and last name as well as a valid email address. Be sure to select the “call me” option.</w:t>
      </w:r>
    </w:p>
    <w:p w:rsidR="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0"/>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11"/>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4"/>
      <w:footerReference w:type="even" r:id="rId15"/>
      <w:footerReference w:type="default" r:id="rId16"/>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1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D01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12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F275E3">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FB6239">
      <w:rPr>
        <w:rFonts w:ascii="Arial Narrow" w:hAnsi="Arial Narrow"/>
        <w:sz w:val="20"/>
      </w:rPr>
      <w:t>23</w:t>
    </w:r>
    <w:r w:rsidR="00991528">
      <w:rPr>
        <w:rFonts w:ascii="Arial Narrow" w:hAnsi="Arial Narrow"/>
        <w:sz w:val="20"/>
      </w:rPr>
      <w:tab/>
    </w:r>
    <w:r w:rsidR="00BA7ADD">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122" w:rsidP="00B66E13">
    <w:pPr>
      <w:pStyle w:val="PostingDate"/>
      <w:rPr>
        <w:sz w:val="16"/>
      </w:rPr>
    </w:pPr>
    <w:r w:rsidRPr="00F4190F">
      <w:rPr>
        <w:sz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sz w:val="16"/>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11249" w:rsidR="00B66E13">
      <mc:AlternateContent>
        <mc:Choice Requires="wps">
          <w:drawing>
            <wp:anchor distT="0" distB="0" distL="114300" distR="114300" simplePos="0" relativeHeight="251662336"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B66E13" w:rsidRPr="001D3B68" w:rsidP="00B66E13">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3360" filled="f" stroked="f">
              <v:textbox style="mso-fit-shape-to-text:t">
                <w:txbxContent>
                  <w:p w:rsidR="00B66E13" w:rsidRPr="001D3B68" w:rsidP="00B66E13">
                    <w:pPr>
                      <w:pStyle w:val="HeaderTitle"/>
                      <w:jc w:val="center"/>
                      <w:rPr>
                        <w:rFonts w:ascii="Arial Narrow" w:hAnsi="Arial Narrow"/>
                        <w:b/>
                      </w:rPr>
                    </w:pPr>
                    <w:r>
                      <w:rPr>
                        <w:rFonts w:ascii="Arial Narrow" w:hAnsi="Arial Narrow"/>
                        <w:b/>
                      </w:rPr>
                      <w:t>Agenda</w:t>
                    </w:r>
                  </w:p>
                </w:txbxContent>
              </v:textbox>
            </v:shape>
          </w:pict>
        </mc:Fallback>
      </mc:AlternateContent>
    </w:r>
    <w:r w:rsidRPr="00711249">
      <w:drawing>
        <wp:anchor distT="0" distB="0" distL="114300" distR="114300" simplePos="0" relativeHeight="251661312"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F6EDB">
      <w:t xml:space="preserve">As of </w:t>
    </w:r>
    <w:r w:rsidR="000C3968">
      <w:t xml:space="preserve">June </w:t>
    </w:r>
    <w:r w:rsidR="00F275E3">
      <w:t>8</w:t>
    </w:r>
    <w:r w:rsidR="00EB12FF">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4337DD4"/>
    <w:multiLevelType w:val="hybridMultilevel"/>
    <w:tmpl w:val="FD8A468A"/>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594212F5"/>
    <w:multiLevelType w:val="hybridMultilevel"/>
    <w:tmpl w:val="A06E44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C200CB0"/>
    <w:multiLevelType w:val="hybridMultilevel"/>
    <w:tmpl w:val="A06E44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6B045875"/>
    <w:multiLevelType w:val="hybridMultilevel"/>
    <w:tmpl w:val="0FC41238"/>
    <w:lvl w:ilvl="0">
      <w:start w:val="1"/>
      <w:numFmt w:val="decimal"/>
      <w:lvlText w:val="%1."/>
      <w:lvlJc w:val="left"/>
      <w:pPr>
        <w:ind w:left="720" w:hanging="360"/>
      </w:pPr>
      <w:rPr>
        <w:rFonts w:hint="default"/>
        <w:strike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3"/>
  </w:num>
  <w:num w:numId="10">
    <w:abstractNumId w:val="0"/>
  </w:num>
  <w:num w:numId="11">
    <w:abstractNumId w:val="4"/>
  </w:num>
  <w:num w:numId="12">
    <w:abstractNumId w:val="1"/>
  </w:num>
  <w:num w:numId="13">
    <w:abstractNumId w:val="6"/>
  </w:num>
  <w:num w:numId="14">
    <w:abstractNumId w:val="7"/>
  </w:num>
  <w:num w:numId="15">
    <w:abstractNumId w:val="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7AE"/>
    <w:rsid w:val="00001E30"/>
    <w:rsid w:val="00010057"/>
    <w:rsid w:val="0001779D"/>
    <w:rsid w:val="000232DF"/>
    <w:rsid w:val="00027F49"/>
    <w:rsid w:val="000333FF"/>
    <w:rsid w:val="00054111"/>
    <w:rsid w:val="00060C9F"/>
    <w:rsid w:val="0007764F"/>
    <w:rsid w:val="00092135"/>
    <w:rsid w:val="000C3968"/>
    <w:rsid w:val="000D4565"/>
    <w:rsid w:val="000E14E6"/>
    <w:rsid w:val="00115C4E"/>
    <w:rsid w:val="00142A76"/>
    <w:rsid w:val="0016375F"/>
    <w:rsid w:val="001678E8"/>
    <w:rsid w:val="00172D97"/>
    <w:rsid w:val="00187507"/>
    <w:rsid w:val="001A0199"/>
    <w:rsid w:val="001B2242"/>
    <w:rsid w:val="001C0CC0"/>
    <w:rsid w:val="001D3B68"/>
    <w:rsid w:val="002113BD"/>
    <w:rsid w:val="00223858"/>
    <w:rsid w:val="0023126D"/>
    <w:rsid w:val="00240490"/>
    <w:rsid w:val="0025139E"/>
    <w:rsid w:val="00254D56"/>
    <w:rsid w:val="00286838"/>
    <w:rsid w:val="00296AAA"/>
    <w:rsid w:val="002B2F98"/>
    <w:rsid w:val="002C6057"/>
    <w:rsid w:val="002D7B41"/>
    <w:rsid w:val="002F695E"/>
    <w:rsid w:val="00305238"/>
    <w:rsid w:val="00316B2B"/>
    <w:rsid w:val="003251CE"/>
    <w:rsid w:val="00327D85"/>
    <w:rsid w:val="00337321"/>
    <w:rsid w:val="00340D83"/>
    <w:rsid w:val="00340EE4"/>
    <w:rsid w:val="003442E8"/>
    <w:rsid w:val="00345732"/>
    <w:rsid w:val="00351032"/>
    <w:rsid w:val="0035641C"/>
    <w:rsid w:val="00362005"/>
    <w:rsid w:val="00380E7A"/>
    <w:rsid w:val="003914CC"/>
    <w:rsid w:val="003A764F"/>
    <w:rsid w:val="003B2EBC"/>
    <w:rsid w:val="003B55E1"/>
    <w:rsid w:val="003C12B2"/>
    <w:rsid w:val="003D7E5C"/>
    <w:rsid w:val="003E7A73"/>
    <w:rsid w:val="00454B11"/>
    <w:rsid w:val="0046043F"/>
    <w:rsid w:val="00477113"/>
    <w:rsid w:val="00484349"/>
    <w:rsid w:val="00491490"/>
    <w:rsid w:val="00494494"/>
    <w:rsid w:val="004969FA"/>
    <w:rsid w:val="004E4EC5"/>
    <w:rsid w:val="005109FF"/>
    <w:rsid w:val="00527104"/>
    <w:rsid w:val="00564DEE"/>
    <w:rsid w:val="0057441E"/>
    <w:rsid w:val="005A5D0D"/>
    <w:rsid w:val="005D6D05"/>
    <w:rsid w:val="006024A0"/>
    <w:rsid w:val="00602967"/>
    <w:rsid w:val="00606F11"/>
    <w:rsid w:val="006558DF"/>
    <w:rsid w:val="0066581F"/>
    <w:rsid w:val="006B7030"/>
    <w:rsid w:val="006C5A36"/>
    <w:rsid w:val="006C7DFB"/>
    <w:rsid w:val="006E4ECD"/>
    <w:rsid w:val="006F7A52"/>
    <w:rsid w:val="00712CAA"/>
    <w:rsid w:val="00716A8B"/>
    <w:rsid w:val="00726147"/>
    <w:rsid w:val="00744A45"/>
    <w:rsid w:val="00754C6D"/>
    <w:rsid w:val="00755096"/>
    <w:rsid w:val="007703B4"/>
    <w:rsid w:val="00790F25"/>
    <w:rsid w:val="007A34A3"/>
    <w:rsid w:val="007A4F0F"/>
    <w:rsid w:val="007C2047"/>
    <w:rsid w:val="007C2954"/>
    <w:rsid w:val="007D4F70"/>
    <w:rsid w:val="007E20E5"/>
    <w:rsid w:val="007E7CAB"/>
    <w:rsid w:val="00837B12"/>
    <w:rsid w:val="00837E78"/>
    <w:rsid w:val="00841282"/>
    <w:rsid w:val="008552A3"/>
    <w:rsid w:val="008573F7"/>
    <w:rsid w:val="00862377"/>
    <w:rsid w:val="00882652"/>
    <w:rsid w:val="00890B49"/>
    <w:rsid w:val="008D65A9"/>
    <w:rsid w:val="008F6EDB"/>
    <w:rsid w:val="00917386"/>
    <w:rsid w:val="009855E4"/>
    <w:rsid w:val="00991528"/>
    <w:rsid w:val="009A2D5A"/>
    <w:rsid w:val="009A5430"/>
    <w:rsid w:val="009C15C4"/>
    <w:rsid w:val="009D17D8"/>
    <w:rsid w:val="009D51B1"/>
    <w:rsid w:val="009F53F9"/>
    <w:rsid w:val="009F5566"/>
    <w:rsid w:val="00A00FAC"/>
    <w:rsid w:val="00A05391"/>
    <w:rsid w:val="00A30464"/>
    <w:rsid w:val="00A317A9"/>
    <w:rsid w:val="00A41149"/>
    <w:rsid w:val="00A73B41"/>
    <w:rsid w:val="00A95BF8"/>
    <w:rsid w:val="00AC2247"/>
    <w:rsid w:val="00AE4870"/>
    <w:rsid w:val="00B16D95"/>
    <w:rsid w:val="00B20316"/>
    <w:rsid w:val="00B313DF"/>
    <w:rsid w:val="00B34E3C"/>
    <w:rsid w:val="00B42AF4"/>
    <w:rsid w:val="00B62597"/>
    <w:rsid w:val="00B62E32"/>
    <w:rsid w:val="00B66E13"/>
    <w:rsid w:val="00B94DFA"/>
    <w:rsid w:val="00BA6146"/>
    <w:rsid w:val="00BA7ADD"/>
    <w:rsid w:val="00BB531B"/>
    <w:rsid w:val="00BB638E"/>
    <w:rsid w:val="00BD5A85"/>
    <w:rsid w:val="00BE0503"/>
    <w:rsid w:val="00BF16D5"/>
    <w:rsid w:val="00BF331B"/>
    <w:rsid w:val="00C439EC"/>
    <w:rsid w:val="00C5307B"/>
    <w:rsid w:val="00C72168"/>
    <w:rsid w:val="00C757F4"/>
    <w:rsid w:val="00C75A9D"/>
    <w:rsid w:val="00C767C6"/>
    <w:rsid w:val="00CA49B9"/>
    <w:rsid w:val="00CB19DE"/>
    <w:rsid w:val="00CB475B"/>
    <w:rsid w:val="00CC1B47"/>
    <w:rsid w:val="00CD5C03"/>
    <w:rsid w:val="00CD7DD4"/>
    <w:rsid w:val="00CE7070"/>
    <w:rsid w:val="00CF5308"/>
    <w:rsid w:val="00D06EC8"/>
    <w:rsid w:val="00D07424"/>
    <w:rsid w:val="00D136EA"/>
    <w:rsid w:val="00D251ED"/>
    <w:rsid w:val="00D26DDF"/>
    <w:rsid w:val="00D42220"/>
    <w:rsid w:val="00D43DBA"/>
    <w:rsid w:val="00D66879"/>
    <w:rsid w:val="00D831E4"/>
    <w:rsid w:val="00D83905"/>
    <w:rsid w:val="00D95949"/>
    <w:rsid w:val="00DB29E9"/>
    <w:rsid w:val="00DD2CF3"/>
    <w:rsid w:val="00DE34CF"/>
    <w:rsid w:val="00DF0B3F"/>
    <w:rsid w:val="00DF1431"/>
    <w:rsid w:val="00E1605D"/>
    <w:rsid w:val="00E24B76"/>
    <w:rsid w:val="00E32B6B"/>
    <w:rsid w:val="00E507AE"/>
    <w:rsid w:val="00E5387A"/>
    <w:rsid w:val="00E55E84"/>
    <w:rsid w:val="00E82F42"/>
    <w:rsid w:val="00E87348"/>
    <w:rsid w:val="00E87A39"/>
    <w:rsid w:val="00E91714"/>
    <w:rsid w:val="00EA0484"/>
    <w:rsid w:val="00EA66F6"/>
    <w:rsid w:val="00EB12FF"/>
    <w:rsid w:val="00EB68B0"/>
    <w:rsid w:val="00EF7070"/>
    <w:rsid w:val="00F275E3"/>
    <w:rsid w:val="00F4190F"/>
    <w:rsid w:val="00F44396"/>
    <w:rsid w:val="00F63584"/>
    <w:rsid w:val="00F7443D"/>
    <w:rsid w:val="00F77266"/>
    <w:rsid w:val="00F91D9D"/>
    <w:rsid w:val="00FB6239"/>
    <w:rsid w:val="00FC2B9A"/>
    <w:rsid w:val="00FC378B"/>
    <w:rsid w:val="00FC4406"/>
    <w:rsid w:val="00FD0122"/>
    <w:rsid w:val="00FD14A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BEBEDD7"/>
  <w15:docId w15:val="{A6344317-C050-45B2-BD04-63CEA02D0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NormalWeb">
    <w:name w:val="Normal (Web)"/>
    <w:basedOn w:val="Normal"/>
    <w:uiPriority w:val="99"/>
    <w:unhideWhenUsed/>
    <w:rsid w:val="00F744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ingDate">
    <w:name w:val="Posting Date"/>
    <w:basedOn w:val="Normal"/>
    <w:link w:val="PostingDateChar"/>
    <w:qFormat/>
    <w:rsid w:val="00B66E13"/>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B66E13"/>
    <w:rPr>
      <w:rFonts w:ascii="Arial Narrow" w:eastAsia="Times New Roman" w:hAnsi="Arial Narrow" w:cs="Times New Roman"/>
      <w:i/>
      <w:noProof/>
      <w:color w:val="013366" w:themeColor="accent1"/>
      <w:sz w:val="17"/>
      <w:szCs w:val="24"/>
    </w:rPr>
  </w:style>
  <w:style w:type="paragraph" w:styleId="ListParagraph">
    <w:name w:val="List Paragraph"/>
    <w:basedOn w:val="Normal"/>
    <w:uiPriority w:val="34"/>
    <w:qFormat/>
    <w:rsid w:val="006C5A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png" /><Relationship Id="rId11" Type="http://schemas.openxmlformats.org/officeDocument/2006/relationships/image" Target="media/image2.png" /><Relationship Id="rId12" Type="http://schemas.openxmlformats.org/officeDocument/2006/relationships/hyperlink" Target="https://www.pjm.com/committees-and-groups/committees/form-facilitator-feedback.aspx" TargetMode="External" /><Relationship Id="rId13" Type="http://schemas.openxmlformats.org/officeDocument/2006/relationships/hyperlink" Target="https://learn.pjm.com/" TargetMode="External"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media/committees-groups/subcommittees/mss/2023/20230612/20230612-item-01--settlements-updates-june-2023.ashx" TargetMode="External" /><Relationship Id="rId5" Type="http://schemas.openxmlformats.org/officeDocument/2006/relationships/hyperlink" Target="https://www.pjm.com/-/media/committees-groups/subcommittees/mss/2023/20230612/20230612-item-03---market-settlements-contact-information-updates.ashx" TargetMode="External" /><Relationship Id="rId6" Type="http://schemas.openxmlformats.org/officeDocument/2006/relationships/hyperlink" Target="https://www.pjm.com/-/media/markets-ops/winter-storm-elliott/monthly-pai-charge-amounts-with-Interest-march-to-november.ashx" TargetMode="External" /><Relationship Id="rId7" Type="http://schemas.openxmlformats.org/officeDocument/2006/relationships/hyperlink" Target="https://www.pjm.com/-/media/committees-groups/committees/rmc/2023/20230523/20230523-item-04a-1---pai-settlements.ashx" TargetMode="External" /><Relationship Id="rId8" Type="http://schemas.openxmlformats.org/officeDocument/2006/relationships/hyperlink" Target="https://www.pjm.com/-/media/committees-groups/committees/rmc/2023/20230523/20230523-item-04a-2---initial-vs-final-bonus-holdback-and-cumulative-billing.ashx" TargetMode="External" /><Relationship Id="rId9" Type="http://schemas.openxmlformats.org/officeDocument/2006/relationships/hyperlink" Target="https://www.pjm.com/-/media/committees-groups/subcommittees/mss/2023/20230216/20230216-2023-settlement-c-tracking.ash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iscin\AppData\Local\Microsoft\Windows\INetCache\IE\ZKD5B7BK\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