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September</w:t>
      </w:r>
      <w:r w:rsidR="006206AA">
        <w:t xml:space="preserve"> </w:t>
      </w:r>
      <w:r w:rsidR="008A653B">
        <w:t>1</w:t>
      </w:r>
      <w:r>
        <w:t>3</w:t>
      </w:r>
      <w:r w:rsidR="006A3416">
        <w:t>, 202</w:t>
      </w:r>
      <w:r w:rsidR="00D2723D">
        <w:t>2</w:t>
      </w:r>
    </w:p>
    <w:p w:rsidR="00B62597"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E43D51">
        <w:t>August 15</w:t>
      </w:r>
      <w:r w:rsidR="006206AA">
        <w:t>,</w:t>
      </w:r>
      <w:r w:rsidRPr="00D2723D" w:rsidR="002C7031">
        <w:t xml:space="preserve"> 202</w:t>
      </w:r>
      <w:r w:rsidR="005F70A8">
        <w:t>2</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t>1:</w:t>
      </w:r>
      <w:r>
        <w:t>10</w:t>
      </w:r>
      <w:r w:rsidRPr="00527104">
        <w:t>-</w:t>
      </w:r>
      <w:r>
        <w:t>1</w:t>
      </w:r>
      <w:r w:rsidRPr="00527104">
        <w:t>:</w:t>
      </w:r>
      <w:r>
        <w:t>40</w:t>
      </w:r>
      <w:r w:rsidRPr="00527104">
        <w:t>)</w:t>
      </w:r>
    </w:p>
    <w:p w:rsidR="00E43D51" w:rsidRPr="0085147C" w:rsidP="0085147C">
      <w:pPr>
        <w:pStyle w:val="ListSubhead1"/>
        <w:rPr>
          <w:b w:val="0"/>
        </w:rPr>
      </w:pPr>
      <w:r w:rsidRPr="0085147C">
        <w:rPr>
          <w:b w:val="0"/>
        </w:rPr>
        <w:t xml:space="preserve">Brian Fitzpatrick, PJM, will provide an update on recent NAESB </w:t>
      </w:r>
      <w:r w:rsidR="007A0930">
        <w:rPr>
          <w:b w:val="0"/>
        </w:rPr>
        <w:t xml:space="preserve">Gas Electric Harmonization </w:t>
      </w:r>
      <w:r w:rsidRPr="0085147C">
        <w:rPr>
          <w:b w:val="0"/>
        </w:rPr>
        <w:t>activities</w:t>
      </w:r>
      <w:r>
        <w:rPr>
          <w:b w:val="0"/>
        </w:rPr>
        <w:t>.</w:t>
      </w:r>
      <w:bookmarkStart w:id="2" w:name="_GoBack"/>
      <w:bookmarkEnd w:id="2"/>
    </w:p>
    <w:p w:rsidR="002E71B8" w:rsidRPr="003F3CF2" w:rsidP="002E71B8">
      <w:pPr>
        <w:pStyle w:val="PrimaryHeading"/>
      </w:pPr>
      <w:r>
        <w:t>Consensus Based Issue Resolution Process (</w:t>
      </w:r>
      <w:r w:rsidR="00472427">
        <w:t>1:</w:t>
      </w:r>
      <w:r w:rsidR="0085147C">
        <w:t>4</w:t>
      </w:r>
      <w:r w:rsidR="00472427">
        <w:t>0-3:45</w:t>
      </w:r>
      <w:r>
        <w:t>)</w:t>
      </w:r>
    </w:p>
    <w:p w:rsidR="003D0013" w:rsidP="003F3CF2">
      <w:pPr>
        <w:pStyle w:val="ListSubhead1"/>
        <w:rPr>
          <w:b w:val="0"/>
        </w:rPr>
      </w:pPr>
      <w:r w:rsidRPr="00E43D51">
        <w:rPr>
          <w:b w:val="0"/>
        </w:rPr>
        <w:t xml:space="preserve">Joseph Bowring, IMM, will present the IMM’s review </w:t>
      </w:r>
      <w:r w:rsidR="0085147C">
        <w:rPr>
          <w:b w:val="0"/>
        </w:rPr>
        <w:t>and updates of</w:t>
      </w:r>
      <w:r w:rsidRPr="00E43D51">
        <w:rPr>
          <w:b w:val="0"/>
        </w:rPr>
        <w:t xml:space="preserve"> </w:t>
      </w:r>
      <w:r w:rsidR="0085147C">
        <w:rPr>
          <w:b w:val="0"/>
        </w:rPr>
        <w:t xml:space="preserve">matrix </w:t>
      </w:r>
      <w:r w:rsidRPr="00E43D51">
        <w:rPr>
          <w:b w:val="0"/>
        </w:rPr>
        <w:t>solution options.</w:t>
      </w:r>
    </w:p>
    <w:p w:rsidR="0085147C" w:rsidRPr="00E43D51" w:rsidP="003F3CF2">
      <w:pPr>
        <w:pStyle w:val="ListSubhead1"/>
        <w:rPr>
          <w:b w:val="0"/>
        </w:rPr>
      </w:pPr>
      <w:r>
        <w:rPr>
          <w:b w:val="0"/>
        </w:rPr>
        <w:t>Brian Fitzpatrick will provide a review of matrix solution options.</w:t>
      </w:r>
    </w:p>
    <w:p w:rsidR="00C46C90" w:rsidRPr="00F06F61" w:rsidP="00C46C90">
      <w:pPr>
        <w:pStyle w:val="PrimaryHeading"/>
      </w:pPr>
      <w:r w:rsidRPr="00F06F61">
        <w:t>Future Agenda Items (</w:t>
      </w:r>
      <w:r w:rsidR="00472427">
        <w:t>3:45-4:00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P="006A244E">
            <w:pPr>
              <w:pStyle w:val="DisclaimerHeading"/>
              <w:spacing w:before="40" w:after="40" w:line="220" w:lineRule="exact"/>
              <w:rPr>
                <w:b w:val="0"/>
                <w:i w:val="0"/>
                <w:color w:val="auto"/>
                <w:sz w:val="18"/>
                <w:szCs w:val="18"/>
              </w:rPr>
            </w:pPr>
            <w:r>
              <w:rPr>
                <w:b w:val="0"/>
                <w:i w:val="0"/>
                <w:color w:val="auto"/>
                <w:sz w:val="18"/>
                <w:szCs w:val="18"/>
              </w:rPr>
              <w:t>October</w:t>
            </w:r>
            <w:r>
              <w:rPr>
                <w:b w:val="0"/>
                <w:i w:val="0"/>
                <w:color w:val="auto"/>
                <w:sz w:val="18"/>
                <w:szCs w:val="18"/>
              </w:rPr>
              <w:t xml:space="preserve"> </w:t>
            </w:r>
            <w:r w:rsidR="004617BC">
              <w:rPr>
                <w:b w:val="0"/>
                <w:i w:val="0"/>
                <w:color w:val="auto"/>
                <w:sz w:val="18"/>
                <w:szCs w:val="18"/>
              </w:rPr>
              <w:t>1</w:t>
            </w:r>
            <w:r>
              <w:rPr>
                <w:b w:val="0"/>
                <w:i w:val="0"/>
                <w:color w:val="auto"/>
                <w:sz w:val="18"/>
                <w:szCs w:val="18"/>
              </w:rPr>
              <w:t>2</w:t>
            </w:r>
            <w:r>
              <w:rPr>
                <w:b w:val="0"/>
                <w:i w:val="0"/>
                <w:color w:val="auto"/>
                <w:sz w:val="18"/>
                <w:szCs w:val="18"/>
              </w:rPr>
              <w:t>, 2022</w:t>
            </w:r>
          </w:p>
        </w:tc>
        <w:tc>
          <w:tcPr>
            <w:tcW w:w="1890" w:type="dxa"/>
            <w:tcBorders>
              <w:top w:val="single" w:sz="4" w:space="0" w:color="auto"/>
              <w:left w:val="single" w:sz="4" w:space="0" w:color="auto"/>
              <w:bottom w:val="single" w:sz="4" w:space="0" w:color="auto"/>
              <w:right w:val="single" w:sz="8" w:space="0" w:color="auto"/>
            </w:tcBorders>
          </w:tcPr>
          <w:p w:rsidR="00510A77" w:rsidP="006A244E">
            <w:pPr>
              <w:pStyle w:val="DisclaimerHeading"/>
              <w:spacing w:before="40" w:after="40" w:line="220" w:lineRule="exact"/>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Pr>
                <w:b w:val="0"/>
                <w:color w:val="auto"/>
                <w:sz w:val="18"/>
                <w:szCs w:val="18"/>
              </w:rPr>
              <w:t>12</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October</w:t>
            </w:r>
            <w:r w:rsidR="002C3BC7">
              <w:rPr>
                <w:b w:val="0"/>
                <w:color w:val="auto"/>
                <w:sz w:val="18"/>
                <w:szCs w:val="18"/>
              </w:rPr>
              <w:t xml:space="preserve"> </w:t>
            </w:r>
            <w:r>
              <w:rPr>
                <w:b w:val="0"/>
                <w:color w:val="auto"/>
                <w:sz w:val="18"/>
                <w:szCs w:val="18"/>
              </w:rPr>
              <w:t>5</w:t>
            </w:r>
            <w:r>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October</w:t>
            </w:r>
            <w:r>
              <w:rPr>
                <w:b w:val="0"/>
                <w:color w:val="auto"/>
                <w:sz w:val="18"/>
                <w:szCs w:val="18"/>
              </w:rPr>
              <w:t xml:space="preserve"> </w:t>
            </w:r>
            <w:r>
              <w:rPr>
                <w:b w:val="0"/>
                <w:color w:val="auto"/>
                <w:sz w:val="18"/>
                <w:szCs w:val="18"/>
              </w:rPr>
              <w:t>7</w:t>
            </w:r>
            <w:r>
              <w:rPr>
                <w:b w:val="0"/>
                <w:color w:val="auto"/>
                <w:sz w:val="18"/>
                <w:szCs w:val="18"/>
              </w:rPr>
              <w:t>,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November 21,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November 14,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 xml:space="preserve">November </w:t>
            </w:r>
            <w:r w:rsidR="00BB6FB2">
              <w:rPr>
                <w:b w:val="0"/>
                <w:color w:val="auto"/>
                <w:sz w:val="18"/>
                <w:szCs w:val="18"/>
              </w:rPr>
              <w:t>16, 2022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December 9,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5,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7,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30B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 xml:space="preserve">Draft </w:t>
                          </w:r>
                          <w:r w:rsidRPr="001D3B68" w:rsidR="008215C0">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 xml:space="preserve">Draft </w:t>
                    </w:r>
                    <w:r w:rsidRPr="001D3B68" w:rsidR="008215C0">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43D51">
      <w:t>Se</w:t>
    </w:r>
    <w:r w:rsidR="001730B6">
      <w:t>p</w:t>
    </w:r>
    <w:r w:rsidR="00E43D51">
      <w:t>tember</w:t>
    </w:r>
    <w:r w:rsidR="00BB6FB2">
      <w:t xml:space="preserve"> </w:t>
    </w:r>
    <w:r w:rsidR="00E43D51">
      <w:t>6</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4973"/>
    <w:rsid w:val="001250C7"/>
    <w:rsid w:val="00125985"/>
    <w:rsid w:val="00126EE2"/>
    <w:rsid w:val="00152CCC"/>
    <w:rsid w:val="001678E8"/>
    <w:rsid w:val="001730B6"/>
    <w:rsid w:val="00173E62"/>
    <w:rsid w:val="001B04A9"/>
    <w:rsid w:val="001B2242"/>
    <w:rsid w:val="001C085E"/>
    <w:rsid w:val="001C0CC0"/>
    <w:rsid w:val="001C7872"/>
    <w:rsid w:val="001D3B68"/>
    <w:rsid w:val="001D633B"/>
    <w:rsid w:val="001F3B2D"/>
    <w:rsid w:val="002056D5"/>
    <w:rsid w:val="002113BD"/>
    <w:rsid w:val="00234552"/>
    <w:rsid w:val="0025139E"/>
    <w:rsid w:val="00257E4A"/>
    <w:rsid w:val="00282B35"/>
    <w:rsid w:val="002A13DF"/>
    <w:rsid w:val="002B2F98"/>
    <w:rsid w:val="002C3BC7"/>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206AA"/>
    <w:rsid w:val="00641D6F"/>
    <w:rsid w:val="00665C26"/>
    <w:rsid w:val="006969E1"/>
    <w:rsid w:val="006A244E"/>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0930"/>
    <w:rsid w:val="007A34A3"/>
    <w:rsid w:val="007A5272"/>
    <w:rsid w:val="007A77A8"/>
    <w:rsid w:val="007C2954"/>
    <w:rsid w:val="007C5C40"/>
    <w:rsid w:val="007D484A"/>
    <w:rsid w:val="007D4F70"/>
    <w:rsid w:val="007E7CAB"/>
    <w:rsid w:val="008215C0"/>
    <w:rsid w:val="008379E0"/>
    <w:rsid w:val="00837B12"/>
    <w:rsid w:val="00841282"/>
    <w:rsid w:val="00841651"/>
    <w:rsid w:val="0085147C"/>
    <w:rsid w:val="008552A3"/>
    <w:rsid w:val="00866278"/>
    <w:rsid w:val="008722FE"/>
    <w:rsid w:val="00882652"/>
    <w:rsid w:val="00893A8F"/>
    <w:rsid w:val="00897A03"/>
    <w:rsid w:val="008A653B"/>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9428E"/>
    <w:rsid w:val="00B97671"/>
    <w:rsid w:val="00BA6146"/>
    <w:rsid w:val="00BB531B"/>
    <w:rsid w:val="00BB6921"/>
    <w:rsid w:val="00BB6E41"/>
    <w:rsid w:val="00BB6FB2"/>
    <w:rsid w:val="00BF0DF8"/>
    <w:rsid w:val="00BF331B"/>
    <w:rsid w:val="00C10A93"/>
    <w:rsid w:val="00C439EC"/>
    <w:rsid w:val="00C46C90"/>
    <w:rsid w:val="00C5307B"/>
    <w:rsid w:val="00C5655D"/>
    <w:rsid w:val="00C72168"/>
    <w:rsid w:val="00C72EF6"/>
    <w:rsid w:val="00C757F4"/>
    <w:rsid w:val="00C75A9D"/>
    <w:rsid w:val="00C91516"/>
    <w:rsid w:val="00CA1358"/>
    <w:rsid w:val="00CA49B9"/>
    <w:rsid w:val="00CB19DE"/>
    <w:rsid w:val="00CB475B"/>
    <w:rsid w:val="00CC1B47"/>
    <w:rsid w:val="00CD3F26"/>
    <w:rsid w:val="00CE25C0"/>
    <w:rsid w:val="00D06EC8"/>
    <w:rsid w:val="00D136EA"/>
    <w:rsid w:val="00D1717A"/>
    <w:rsid w:val="00D23D3B"/>
    <w:rsid w:val="00D251ED"/>
    <w:rsid w:val="00D25FF1"/>
    <w:rsid w:val="00D2723D"/>
    <w:rsid w:val="00D523AA"/>
    <w:rsid w:val="00D55BF4"/>
    <w:rsid w:val="00D57E57"/>
    <w:rsid w:val="00D62437"/>
    <w:rsid w:val="00D635EA"/>
    <w:rsid w:val="00D67C91"/>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43D51"/>
    <w:rsid w:val="00E5387A"/>
    <w:rsid w:val="00E55E84"/>
    <w:rsid w:val="00EB68B0"/>
    <w:rsid w:val="00ED4247"/>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9C9479"/>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A10ED-2D81-4A89-8F8E-389C9BB3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