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970CCC" w:rsidP="00613FC3">
      <w:pPr>
        <w:pStyle w:val="MeetingDetails"/>
      </w:pPr>
      <w:r>
        <w:t>July</w:t>
      </w:r>
      <w:r w:rsidR="00613FC3">
        <w:t xml:space="preserve"> </w:t>
      </w:r>
      <w:r>
        <w:t>1</w:t>
      </w:r>
      <w:r w:rsidR="00415AEE">
        <w:t>1</w:t>
      </w:r>
      <w:r w:rsidR="00613FC3">
        <w:t>, 2016</w:t>
      </w:r>
    </w:p>
    <w:p w:rsidR="00613FC3" w:rsidRDefault="00613FC3" w:rsidP="00613FC3">
      <w:pPr>
        <w:pStyle w:val="MeetingDetails"/>
      </w:pPr>
      <w:r>
        <w:t xml:space="preserve">9:30 a.m. – </w:t>
      </w:r>
      <w:r w:rsidR="00415AEE">
        <w:t>4</w:t>
      </w:r>
      <w:r>
        <w:t>:00 p.m. EPT</w:t>
      </w:r>
    </w:p>
    <w:p w:rsidR="00613FC3" w:rsidRPr="00B62597" w:rsidRDefault="00415AEE" w:rsidP="00613FC3">
      <w:pPr>
        <w:pStyle w:val="MeetingDetails"/>
        <w:rPr>
          <w:sz w:val="28"/>
          <w:u w:val="single"/>
        </w:rPr>
      </w:pPr>
      <w:r>
        <w:t>Meeting #</w:t>
      </w:r>
      <w:r w:rsidR="00970CCC">
        <w:t>8</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1E1EC5">
        <w:t>3</w:t>
      </w:r>
      <w:r>
        <w:t>0</w:t>
      </w:r>
      <w:r w:rsidR="00B32F74">
        <w:t xml:space="preserve"> </w:t>
      </w:r>
      <w:r>
        <w:t>-</w:t>
      </w:r>
      <w:r w:rsidR="00B32F74">
        <w:t xml:space="preserve"> </w:t>
      </w:r>
      <w:r w:rsidR="001E1EC5">
        <w:t>9</w:t>
      </w:r>
      <w:r>
        <w:t>:</w:t>
      </w:r>
      <w:r w:rsidR="001E1EC5">
        <w:t>4</w:t>
      </w:r>
      <w:r w:rsidR="00567FA7">
        <w:t>5</w:t>
      </w:r>
      <w:r w:rsidRPr="00B62597">
        <w:t>)</w:t>
      </w:r>
    </w:p>
    <w:bookmarkEnd w:id="1"/>
    <w:bookmarkEnd w:id="2"/>
    <w:p w:rsidR="00613FC3" w:rsidRDefault="00613FC3" w:rsidP="00613FC3">
      <w:pPr>
        <w:pStyle w:val="SecondaryHeading-Numbered"/>
        <w:numPr>
          <w:ilvl w:val="0"/>
          <w:numId w:val="0"/>
        </w:numPr>
      </w:pPr>
      <w:r w:rsidRPr="004310AE">
        <w:t xml:space="preserve">Welcome, </w:t>
      </w:r>
      <w:proofErr w:type="gramStart"/>
      <w:r>
        <w:t>review of the PJM meeting guidelines, agenda, roll</w:t>
      </w:r>
      <w:proofErr w:type="gramEnd"/>
      <w:r>
        <w:t xml:space="preserve"> call,</w:t>
      </w:r>
      <w:r w:rsidRPr="004310AE">
        <w:t xml:space="preserve"> and </w:t>
      </w:r>
      <w:r>
        <w:t>approval of minutes</w:t>
      </w:r>
    </w:p>
    <w:p w:rsidR="00085CE5" w:rsidRPr="000C4097" w:rsidRDefault="00085CE5" w:rsidP="00085CE5">
      <w:pPr>
        <w:pStyle w:val="PrimaryHeading"/>
      </w:pPr>
      <w:r>
        <w:t>Solution Options for Demand Resources (9:45 – 10:45)</w:t>
      </w:r>
    </w:p>
    <w:p w:rsidR="00085CE5" w:rsidRPr="00567FA7" w:rsidRDefault="00085CE5" w:rsidP="00085CE5">
      <w:pPr>
        <w:pStyle w:val="SecondaryHeading-Numbered"/>
        <w:rPr>
          <w:b/>
        </w:rPr>
      </w:pPr>
      <w:r>
        <w:t>Murty Bhavaraju, PJM, will discuss a proposed solution option for non-summer Demand Response measurement and verification</w:t>
      </w:r>
    </w:p>
    <w:p w:rsidR="00085CE5" w:rsidRPr="00085CE5" w:rsidRDefault="00085CE5" w:rsidP="00085CE5">
      <w:pPr>
        <w:pStyle w:val="SecondaryHeading-Numbered"/>
        <w:numPr>
          <w:ilvl w:val="0"/>
          <w:numId w:val="0"/>
        </w:numPr>
        <w:ind w:left="360"/>
        <w:rPr>
          <w:b/>
        </w:rPr>
      </w:pPr>
      <w:r>
        <w:t xml:space="preserve">Stakeholders will discuss solution options for design components focused on demand resources. </w:t>
      </w:r>
    </w:p>
    <w:p w:rsidR="000C4097" w:rsidRPr="000C4097" w:rsidRDefault="000C4097" w:rsidP="000C4097">
      <w:pPr>
        <w:pStyle w:val="PrimaryHeading"/>
      </w:pPr>
      <w:r>
        <w:t xml:space="preserve">Solution Options for </w:t>
      </w:r>
      <w:r w:rsidR="005B461B">
        <w:t>Aggregate</w:t>
      </w:r>
      <w:r>
        <w:t xml:space="preserve"> Resources (</w:t>
      </w:r>
      <w:r w:rsidR="00085CE5">
        <w:t>10</w:t>
      </w:r>
      <w:r>
        <w:t>:</w:t>
      </w:r>
      <w:r w:rsidR="00567FA7">
        <w:t xml:space="preserve">45 </w:t>
      </w:r>
      <w:r>
        <w:t>-</w:t>
      </w:r>
      <w:r w:rsidR="00567FA7">
        <w:t xml:space="preserve"> </w:t>
      </w:r>
      <w:r>
        <w:t>12:00</w:t>
      </w:r>
      <w:r w:rsidR="00085CE5">
        <w:t>, 1:00 – 2:30</w:t>
      </w:r>
      <w:r>
        <w:t>)</w:t>
      </w:r>
    </w:p>
    <w:p w:rsidR="007038BE" w:rsidRPr="007038BE" w:rsidRDefault="00085CE5" w:rsidP="002C7A6B">
      <w:pPr>
        <w:pStyle w:val="SecondaryHeading-Numbered"/>
        <w:rPr>
          <w:b/>
        </w:rPr>
      </w:pPr>
      <w:r>
        <w:t>Adam Keech</w:t>
      </w:r>
      <w:r w:rsidR="007038BE">
        <w:t>, PJM, will discuss</w:t>
      </w:r>
      <w:r w:rsidR="00CF6A10">
        <w:t xml:space="preserve"> draft resource aggregation business rules and solution options.</w:t>
      </w:r>
    </w:p>
    <w:p w:rsidR="005B461B" w:rsidRPr="005B461B" w:rsidRDefault="005B461B" w:rsidP="002C7A6B">
      <w:pPr>
        <w:pStyle w:val="SecondaryHeading-Numbered"/>
        <w:rPr>
          <w:b/>
        </w:rPr>
      </w:pPr>
      <w:r>
        <w:t>Aaron Berner, PJM, will discuss the winter deliverability analysis associated with wind resources and considerations for how a wind resource’s winter capability is considered as part of an aggregation.</w:t>
      </w:r>
    </w:p>
    <w:p w:rsidR="000C4097" w:rsidRPr="00567FA7" w:rsidRDefault="000C4097" w:rsidP="00567FA7">
      <w:pPr>
        <w:pStyle w:val="SecondaryHeading-Numbered"/>
        <w:numPr>
          <w:ilvl w:val="0"/>
          <w:numId w:val="0"/>
        </w:numPr>
        <w:ind w:left="360"/>
        <w:rPr>
          <w:b/>
        </w:rPr>
      </w:pPr>
      <w:r>
        <w:t xml:space="preserve">Stakeholders will discuss solutions options for design components focused on </w:t>
      </w:r>
      <w:r w:rsidR="00CF6A10">
        <w:t>A</w:t>
      </w:r>
      <w:r>
        <w:t xml:space="preserve">ggregated </w:t>
      </w:r>
      <w:r w:rsidR="00567FA7">
        <w:t>R</w:t>
      </w:r>
      <w:r>
        <w:t>esources</w:t>
      </w:r>
      <w:r w:rsidR="00567FA7">
        <w:t>.</w:t>
      </w:r>
    </w:p>
    <w:p w:rsidR="000C4097" w:rsidRPr="000C4097" w:rsidRDefault="000C4097" w:rsidP="000C4097">
      <w:pPr>
        <w:pStyle w:val="PrimaryHeading"/>
      </w:pPr>
      <w:r>
        <w:t xml:space="preserve">Solution Options for </w:t>
      </w:r>
      <w:r w:rsidR="00567FA7">
        <w:t>Seasonal Products</w:t>
      </w:r>
      <w:r>
        <w:t xml:space="preserve"> (</w:t>
      </w:r>
      <w:r w:rsidR="00E83992">
        <w:t>2</w:t>
      </w:r>
      <w:r>
        <w:t>:</w:t>
      </w:r>
      <w:r w:rsidR="00E83992">
        <w:t>3</w:t>
      </w:r>
      <w:r>
        <w:t>0</w:t>
      </w:r>
      <w:r w:rsidR="00567FA7">
        <w:t xml:space="preserve"> </w:t>
      </w:r>
      <w:r>
        <w:t>-</w:t>
      </w:r>
      <w:r w:rsidR="00567FA7">
        <w:t xml:space="preserve"> </w:t>
      </w:r>
      <w:r>
        <w:t>3:</w:t>
      </w:r>
      <w:r w:rsidR="00E83992">
        <w:t>3</w:t>
      </w:r>
      <w:r>
        <w:t>0)</w:t>
      </w:r>
    </w:p>
    <w:p w:rsidR="000C4097" w:rsidRPr="001A109E" w:rsidRDefault="003B6E7D" w:rsidP="002C7A6B">
      <w:pPr>
        <w:pStyle w:val="SecondaryHeading-Numbered"/>
        <w:rPr>
          <w:b/>
        </w:rPr>
      </w:pPr>
      <w:r>
        <w:t>Tom Rutigliano, WeatherBug, will present solutions options for an alternative Capacity Performance product.</w:t>
      </w:r>
    </w:p>
    <w:p w:rsidR="001A109E" w:rsidRPr="001A109E" w:rsidRDefault="001A109E" w:rsidP="001A109E">
      <w:pPr>
        <w:pStyle w:val="SecondaryHeading-Numbered"/>
        <w:numPr>
          <w:ilvl w:val="0"/>
          <w:numId w:val="0"/>
        </w:numPr>
        <w:ind w:left="360"/>
      </w:pPr>
      <w:r>
        <w:t>Jim Wilson, on behalf of the NJ Division of Rate Counsel, PA Office of Consumer Advocate, MD Office of People’s Counsel, DC Office of People’s Counsel, DE Division of the Public Advocate, and the Sustainable FERC Project, will present a proposal to develop seasonal capacity products.</w:t>
      </w:r>
    </w:p>
    <w:p w:rsidR="00567FA7" w:rsidRPr="002C7A6B" w:rsidRDefault="00567FA7" w:rsidP="00567FA7">
      <w:pPr>
        <w:pStyle w:val="SecondaryHeading-Numbered"/>
        <w:numPr>
          <w:ilvl w:val="0"/>
          <w:numId w:val="0"/>
        </w:numPr>
        <w:ind w:left="360"/>
        <w:rPr>
          <w:b/>
        </w:rPr>
      </w:pPr>
      <w:r>
        <w:t xml:space="preserve">Stakeholders will discuss solution options for design components focused on seasonal products / sub-annual products. </w:t>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gridCol w:w="228"/>
      </w:tblGrid>
      <w:tr w:rsidR="00BB531B" w:rsidTr="00B67A7D">
        <w:trPr>
          <w:gridAfter w:val="1"/>
          <w:wAfter w:w="228" w:type="dxa"/>
        </w:trPr>
        <w:tc>
          <w:tcPr>
            <w:tcW w:w="9576" w:type="dxa"/>
            <w:gridSpan w:val="3"/>
          </w:tcPr>
          <w:p w:rsidR="007038BE" w:rsidRDefault="007038BE" w:rsidP="007038BE">
            <w:pPr>
              <w:pStyle w:val="PrimaryHeading"/>
            </w:pPr>
            <w:r>
              <w:lastRenderedPageBreak/>
              <w:t>Follow-up Action Items from the June 21</w:t>
            </w:r>
            <w:r w:rsidRPr="007038BE">
              <w:rPr>
                <w:vertAlign w:val="superscript"/>
              </w:rPr>
              <w:t>rd</w:t>
            </w:r>
            <w:r>
              <w:t xml:space="preserve"> meeting (</w:t>
            </w:r>
            <w:r w:rsidR="00567FA7">
              <w:t>3</w:t>
            </w:r>
            <w:r>
              <w:t>:</w:t>
            </w:r>
            <w:r w:rsidR="00567FA7">
              <w:t xml:space="preserve">30 </w:t>
            </w:r>
            <w:r>
              <w:t>-</w:t>
            </w:r>
            <w:r w:rsidR="00567FA7">
              <w:t xml:space="preserve"> 3</w:t>
            </w:r>
            <w:r>
              <w:t>:</w:t>
            </w:r>
            <w:r w:rsidR="00567FA7">
              <w:t>45</w:t>
            </w:r>
            <w:r>
              <w:t>)</w:t>
            </w:r>
          </w:p>
          <w:p w:rsidR="007038BE" w:rsidRDefault="007038BE" w:rsidP="007038BE">
            <w:pPr>
              <w:pStyle w:val="SecondaryHeading-Numbered"/>
            </w:pPr>
            <w:r>
              <w:t>Mr. Tom Falin, PJM, will</w:t>
            </w:r>
            <w:r w:rsidR="00567FA7">
              <w:t xml:space="preserve"> provide a brief</w:t>
            </w:r>
            <w:r>
              <w:t xml:space="preserve"> response to the Base Capacity Analysis presented at the June 6 SCRSTF meeting.</w:t>
            </w:r>
          </w:p>
          <w:p w:rsidR="00567FA7" w:rsidRDefault="00567FA7" w:rsidP="007038BE">
            <w:pPr>
              <w:pStyle w:val="SecondaryHeading-Numbered"/>
            </w:pPr>
            <w:r>
              <w:t>At the last meeting, stakeholders requested more granular data on offered and cleared seasonal resource types by LDA from the most recent BRA auction results (2019/2020 DY).  That data has been posted under today’s meeting materials.</w:t>
            </w:r>
          </w:p>
          <w:p w:rsidR="007038BE" w:rsidRDefault="007038BE" w:rsidP="007038BE">
            <w:pPr>
              <w:pStyle w:val="SecondaryHeading-Numbered"/>
              <w:numPr>
                <w:ilvl w:val="0"/>
                <w:numId w:val="0"/>
              </w:numPr>
              <w:ind w:left="360"/>
            </w:pPr>
          </w:p>
          <w:p w:rsidR="00BB531B" w:rsidRDefault="00161AA7" w:rsidP="000C4097">
            <w:pPr>
              <w:pStyle w:val="PrimaryHeading"/>
            </w:pPr>
            <w:r>
              <w:t xml:space="preserve">Action Items and </w:t>
            </w:r>
            <w:r w:rsidR="002B2F98">
              <w:t xml:space="preserve">Future Agenda Items </w:t>
            </w:r>
            <w:r w:rsidR="00567FA7">
              <w:t>(3:45 – 4:00)</w:t>
            </w:r>
          </w:p>
        </w:tc>
      </w:tr>
      <w:tr w:rsidR="00BB531B" w:rsidTr="00B67A7D">
        <w:trPr>
          <w:gridAfter w:val="1"/>
          <w:wAfter w:w="228" w:type="dxa"/>
          <w:trHeight w:val="296"/>
        </w:trPr>
        <w:tc>
          <w:tcPr>
            <w:tcW w:w="9576" w:type="dxa"/>
            <w:gridSpan w:val="3"/>
          </w:tcPr>
          <w:p w:rsidR="00BB531B" w:rsidRDefault="00BB531B" w:rsidP="00BB531B">
            <w:pPr>
              <w:pStyle w:val="AttendeesList"/>
            </w:pPr>
          </w:p>
        </w:tc>
      </w:tr>
      <w:tr w:rsidR="00BB531B" w:rsidTr="00B67A7D">
        <w:trPr>
          <w:gridAfter w:val="1"/>
          <w:wAfter w:w="228" w:type="dxa"/>
        </w:trPr>
        <w:tc>
          <w:tcPr>
            <w:tcW w:w="9576" w:type="dxa"/>
            <w:gridSpan w:val="3"/>
          </w:tcPr>
          <w:p w:rsidR="00BB531B" w:rsidRDefault="00606F11" w:rsidP="00BB531B">
            <w:pPr>
              <w:pStyle w:val="PrimaryHeading"/>
            </w:pPr>
            <w:r>
              <w:t>Future Meeting Dates</w:t>
            </w:r>
          </w:p>
        </w:tc>
      </w:tr>
      <w:tr w:rsidR="00B67A7D" w:rsidRPr="00B67A7D" w:rsidTr="00B67A7D">
        <w:tc>
          <w:tcPr>
            <w:tcW w:w="3192" w:type="dxa"/>
            <w:vAlign w:val="center"/>
          </w:tcPr>
          <w:p w:rsidR="001E1EC5" w:rsidRPr="00FA339E" w:rsidRDefault="00B67A7D" w:rsidP="00B67A7D">
            <w:pPr>
              <w:pStyle w:val="AttendeesList"/>
              <w:rPr>
                <w:szCs w:val="18"/>
              </w:rPr>
            </w:pPr>
            <w:r w:rsidRPr="00FA339E">
              <w:rPr>
                <w:szCs w:val="18"/>
              </w:rPr>
              <w:t>August 1</w:t>
            </w:r>
            <w:r w:rsidR="001E1EC5" w:rsidRPr="00FA339E">
              <w:rPr>
                <w:szCs w:val="18"/>
              </w:rPr>
              <w:t>, 2016</w:t>
            </w:r>
          </w:p>
        </w:tc>
        <w:tc>
          <w:tcPr>
            <w:tcW w:w="3192" w:type="dxa"/>
            <w:vAlign w:val="center"/>
          </w:tcPr>
          <w:p w:rsidR="001E1EC5" w:rsidRPr="00FA339E" w:rsidRDefault="001E1EC5" w:rsidP="00C960B0">
            <w:pPr>
              <w:pStyle w:val="AttendeesList"/>
              <w:rPr>
                <w:szCs w:val="18"/>
              </w:rPr>
            </w:pPr>
            <w:r w:rsidRPr="00FA339E">
              <w:rPr>
                <w:szCs w:val="18"/>
              </w:rPr>
              <w:t>9:30 a.m. – 4:00 p.m.</w:t>
            </w:r>
          </w:p>
        </w:tc>
        <w:tc>
          <w:tcPr>
            <w:tcW w:w="3420" w:type="dxa"/>
            <w:gridSpan w:val="2"/>
            <w:vAlign w:val="center"/>
          </w:tcPr>
          <w:p w:rsidR="001E1EC5" w:rsidRPr="00FA339E" w:rsidRDefault="001E1EC5" w:rsidP="00C960B0">
            <w:pPr>
              <w:pStyle w:val="AttendeesList"/>
              <w:rPr>
                <w:szCs w:val="18"/>
              </w:rPr>
            </w:pPr>
            <w:r w:rsidRPr="00FA339E">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sidRPr="0068195B">
              <w:rPr>
                <w:szCs w:val="18"/>
              </w:rPr>
              <w:t>August 12,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sidRPr="0068195B">
              <w:rPr>
                <w:szCs w:val="18"/>
              </w:rPr>
              <w:t>August 22, 2016</w:t>
            </w:r>
          </w:p>
        </w:tc>
        <w:tc>
          <w:tcPr>
            <w:tcW w:w="3192" w:type="dxa"/>
            <w:vAlign w:val="center"/>
          </w:tcPr>
          <w:p w:rsidR="001E1EC5" w:rsidRPr="0068195B" w:rsidRDefault="001E1EC5" w:rsidP="00C960B0">
            <w:pPr>
              <w:pStyle w:val="AttendeesList"/>
              <w:rPr>
                <w:szCs w:val="18"/>
              </w:rPr>
            </w:pPr>
            <w:r w:rsidRPr="0068195B">
              <w:rPr>
                <w:szCs w:val="18"/>
              </w:rPr>
              <w:t>1:00 p.m. – 4:30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B67A7D">
        <w:trPr>
          <w:gridAfter w:val="1"/>
          <w:wAfter w:w="228" w:type="dxa"/>
        </w:trPr>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B67A7D">
        <w:trPr>
          <w:gridAfter w:val="1"/>
          <w:wAfter w:w="228" w:type="dxa"/>
        </w:trPr>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A8" w:rsidRDefault="001059A8" w:rsidP="00B62597">
      <w:pPr>
        <w:spacing w:after="0" w:line="240" w:lineRule="auto"/>
      </w:pPr>
      <w:r>
        <w:separator/>
      </w:r>
    </w:p>
  </w:endnote>
  <w:endnote w:type="continuationSeparator" w:id="0">
    <w:p w:rsidR="001059A8" w:rsidRDefault="001059A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05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11F4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A8" w:rsidRDefault="001059A8" w:rsidP="00B62597">
      <w:pPr>
        <w:spacing w:after="0" w:line="240" w:lineRule="auto"/>
      </w:pPr>
      <w:r>
        <w:separator/>
      </w:r>
    </w:p>
  </w:footnote>
  <w:footnote w:type="continuationSeparator" w:id="0">
    <w:p w:rsidR="001059A8" w:rsidRDefault="001059A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059A8">
    <w:pPr>
      <w:rPr>
        <w:sz w:val="16"/>
      </w:rPr>
    </w:pPr>
  </w:p>
  <w:p w:rsidR="003C17E2" w:rsidRDefault="001059A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7598A"/>
    <w:rsid w:val="00085CE5"/>
    <w:rsid w:val="000B1625"/>
    <w:rsid w:val="000C4097"/>
    <w:rsid w:val="001059A8"/>
    <w:rsid w:val="00111F46"/>
    <w:rsid w:val="00125ACA"/>
    <w:rsid w:val="00161AA7"/>
    <w:rsid w:val="001A109E"/>
    <w:rsid w:val="001B2242"/>
    <w:rsid w:val="001C0CC0"/>
    <w:rsid w:val="001D3B68"/>
    <w:rsid w:val="001E1EC5"/>
    <w:rsid w:val="002113BD"/>
    <w:rsid w:val="0025071A"/>
    <w:rsid w:val="002A776B"/>
    <w:rsid w:val="002B2F98"/>
    <w:rsid w:val="002C7A6B"/>
    <w:rsid w:val="002F3BFD"/>
    <w:rsid w:val="00305238"/>
    <w:rsid w:val="00337321"/>
    <w:rsid w:val="003B55E1"/>
    <w:rsid w:val="003B6E7D"/>
    <w:rsid w:val="003D7E5C"/>
    <w:rsid w:val="003E7A73"/>
    <w:rsid w:val="00415AEE"/>
    <w:rsid w:val="00491490"/>
    <w:rsid w:val="00494078"/>
    <w:rsid w:val="004969FA"/>
    <w:rsid w:val="00564DEE"/>
    <w:rsid w:val="00567FA7"/>
    <w:rsid w:val="0057441E"/>
    <w:rsid w:val="005B461B"/>
    <w:rsid w:val="005D28FA"/>
    <w:rsid w:val="005D6D05"/>
    <w:rsid w:val="00602967"/>
    <w:rsid w:val="00606F11"/>
    <w:rsid w:val="00613FC3"/>
    <w:rsid w:val="00614AEB"/>
    <w:rsid w:val="00620654"/>
    <w:rsid w:val="0065431D"/>
    <w:rsid w:val="00683257"/>
    <w:rsid w:val="007038BE"/>
    <w:rsid w:val="00712CAA"/>
    <w:rsid w:val="00716A8B"/>
    <w:rsid w:val="00754C6D"/>
    <w:rsid w:val="00755096"/>
    <w:rsid w:val="007A34A3"/>
    <w:rsid w:val="007D0091"/>
    <w:rsid w:val="007E7CAB"/>
    <w:rsid w:val="00837B12"/>
    <w:rsid w:val="00841282"/>
    <w:rsid w:val="008640E5"/>
    <w:rsid w:val="00882652"/>
    <w:rsid w:val="00917386"/>
    <w:rsid w:val="00940659"/>
    <w:rsid w:val="00944750"/>
    <w:rsid w:val="00970CCC"/>
    <w:rsid w:val="009A5430"/>
    <w:rsid w:val="009C15C4"/>
    <w:rsid w:val="00A05391"/>
    <w:rsid w:val="00A317A9"/>
    <w:rsid w:val="00AC6763"/>
    <w:rsid w:val="00B16D95"/>
    <w:rsid w:val="00B20316"/>
    <w:rsid w:val="00B323C7"/>
    <w:rsid w:val="00B32F74"/>
    <w:rsid w:val="00B34E3C"/>
    <w:rsid w:val="00B62597"/>
    <w:rsid w:val="00B67A7D"/>
    <w:rsid w:val="00BA6146"/>
    <w:rsid w:val="00BB531B"/>
    <w:rsid w:val="00BF331B"/>
    <w:rsid w:val="00C439EC"/>
    <w:rsid w:val="00C72168"/>
    <w:rsid w:val="00CA49B9"/>
    <w:rsid w:val="00CC092B"/>
    <w:rsid w:val="00CC1B47"/>
    <w:rsid w:val="00CF6A10"/>
    <w:rsid w:val="00D136EA"/>
    <w:rsid w:val="00D251ED"/>
    <w:rsid w:val="00D63609"/>
    <w:rsid w:val="00D95949"/>
    <w:rsid w:val="00DB29E9"/>
    <w:rsid w:val="00DD7150"/>
    <w:rsid w:val="00DE34CF"/>
    <w:rsid w:val="00E8188F"/>
    <w:rsid w:val="00E83992"/>
    <w:rsid w:val="00EB68B0"/>
    <w:rsid w:val="00F30889"/>
    <w:rsid w:val="00F4190F"/>
    <w:rsid w:val="00F7745C"/>
    <w:rsid w:val="00F867BD"/>
    <w:rsid w:val="00FA2BEC"/>
    <w:rsid w:val="00FA339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3800</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2016-07-11T12:44:00Z</dcterms:created>
  <dcterms:modified xsi:type="dcterms:W3CDTF">2016-07-11T12:44:00Z</dcterms:modified>
</cp:coreProperties>
</file>